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F0A" w:rsidRPr="00183F0A" w:rsidRDefault="00183F0A" w:rsidP="00183F0A">
      <w:pPr>
        <w:spacing w:after="0" w:line="240" w:lineRule="auto"/>
        <w:ind w:left="5954" w:firstLine="709"/>
        <w:rPr>
          <w:rFonts w:ascii="Tahoma" w:eastAsia="Times New Roman" w:hAnsi="Tahoma" w:cs="Tahoma"/>
          <w:sz w:val="20"/>
          <w:szCs w:val="24"/>
        </w:rPr>
      </w:pPr>
      <w:r w:rsidRPr="00183F0A">
        <w:rPr>
          <w:rFonts w:ascii="Tahoma" w:eastAsia="Times New Roman" w:hAnsi="Tahoma" w:cs="Tahoma"/>
          <w:sz w:val="20"/>
          <w:szCs w:val="24"/>
        </w:rPr>
        <w:t>Pielikums Nr.1</w:t>
      </w:r>
    </w:p>
    <w:p w:rsidR="00183F0A" w:rsidRPr="00183F0A" w:rsidRDefault="00183F0A" w:rsidP="00183F0A">
      <w:pPr>
        <w:spacing w:after="0" w:line="240" w:lineRule="auto"/>
        <w:ind w:left="5954" w:firstLine="709"/>
        <w:rPr>
          <w:rFonts w:ascii="Tahoma" w:eastAsia="Times New Roman" w:hAnsi="Tahoma" w:cs="Tahoma"/>
          <w:sz w:val="20"/>
          <w:szCs w:val="24"/>
        </w:rPr>
      </w:pPr>
      <w:r>
        <w:rPr>
          <w:rFonts w:ascii="Tahoma" w:eastAsia="Times New Roman" w:hAnsi="Tahoma" w:cs="Tahoma"/>
          <w:sz w:val="20"/>
          <w:szCs w:val="24"/>
        </w:rPr>
        <w:t xml:space="preserve">Atklāta konkursa ziņojumam </w:t>
      </w:r>
    </w:p>
    <w:p w:rsidR="00183F0A" w:rsidRPr="00183F0A" w:rsidRDefault="00183F0A" w:rsidP="00183F0A">
      <w:pPr>
        <w:spacing w:after="0" w:line="240" w:lineRule="auto"/>
        <w:ind w:left="5954" w:firstLine="709"/>
        <w:rPr>
          <w:rFonts w:ascii="Tahoma" w:eastAsia="Times New Roman" w:hAnsi="Tahoma" w:cs="Tahoma"/>
          <w:sz w:val="20"/>
          <w:szCs w:val="24"/>
          <w:u w:val="single"/>
        </w:rPr>
      </w:pPr>
      <w:r w:rsidRPr="00183F0A">
        <w:rPr>
          <w:rFonts w:ascii="Tahoma" w:eastAsia="Times New Roman" w:hAnsi="Tahoma" w:cs="Tahoma"/>
          <w:sz w:val="20"/>
          <w:szCs w:val="24"/>
        </w:rPr>
        <w:t>no 2013.gada</w:t>
      </w:r>
      <w:r>
        <w:rPr>
          <w:rFonts w:ascii="Tahoma" w:eastAsia="Times New Roman" w:hAnsi="Tahoma" w:cs="Tahoma"/>
          <w:sz w:val="20"/>
          <w:szCs w:val="24"/>
        </w:rPr>
        <w:t xml:space="preserve"> </w:t>
      </w:r>
      <w:r w:rsidR="006F6A66">
        <w:rPr>
          <w:rFonts w:ascii="Tahoma" w:eastAsia="Times New Roman" w:hAnsi="Tahoma" w:cs="Tahoma"/>
          <w:sz w:val="20"/>
          <w:szCs w:val="24"/>
        </w:rPr>
        <w:t>24</w:t>
      </w:r>
      <w:bookmarkStart w:id="0" w:name="_GoBack"/>
      <w:bookmarkEnd w:id="0"/>
      <w:r w:rsidR="001D2F40" w:rsidRPr="001D2F40">
        <w:rPr>
          <w:rFonts w:ascii="Tahoma" w:eastAsia="Times New Roman" w:hAnsi="Tahoma" w:cs="Tahoma"/>
          <w:sz w:val="20"/>
          <w:szCs w:val="24"/>
        </w:rPr>
        <w:t>.maija</w:t>
      </w:r>
    </w:p>
    <w:p w:rsidR="00183F0A" w:rsidRDefault="00183F0A" w:rsidP="00647008">
      <w:pPr>
        <w:spacing w:after="240" w:line="240" w:lineRule="auto"/>
        <w:ind w:firstLine="720"/>
        <w:jc w:val="center"/>
        <w:rPr>
          <w:b/>
        </w:rPr>
      </w:pPr>
    </w:p>
    <w:p w:rsidR="00647008" w:rsidRPr="00183F0A" w:rsidRDefault="00647008" w:rsidP="008C705C">
      <w:pPr>
        <w:spacing w:after="360" w:line="240" w:lineRule="auto"/>
        <w:ind w:firstLine="720"/>
        <w:jc w:val="center"/>
        <w:rPr>
          <w:rFonts w:ascii="Tahoma" w:hAnsi="Tahoma" w:cs="Tahoma"/>
          <w:b/>
          <w:sz w:val="20"/>
        </w:rPr>
      </w:pPr>
      <w:r w:rsidRPr="00183F0A">
        <w:rPr>
          <w:rFonts w:ascii="Tahoma" w:hAnsi="Tahoma" w:cs="Tahoma"/>
          <w:b/>
          <w:sz w:val="20"/>
        </w:rPr>
        <w:t xml:space="preserve">Iepirkumu komisijas pamatojums turpināt atklāta konkursa „Olaines 1.vidusskolas mācību klašu </w:t>
      </w:r>
      <w:proofErr w:type="spellStart"/>
      <w:r w:rsidRPr="00183F0A">
        <w:rPr>
          <w:rFonts w:ascii="Tahoma" w:hAnsi="Tahoma" w:cs="Tahoma"/>
          <w:b/>
          <w:sz w:val="20"/>
        </w:rPr>
        <w:t>datoraprīkojuma</w:t>
      </w:r>
      <w:proofErr w:type="spellEnd"/>
      <w:r w:rsidRPr="00183F0A">
        <w:rPr>
          <w:rFonts w:ascii="Tahoma" w:hAnsi="Tahoma" w:cs="Tahoma"/>
          <w:b/>
          <w:sz w:val="20"/>
        </w:rPr>
        <w:t xml:space="preserve"> piegāde”, IDN: ONP 2013/08, iepirkuma procedūru</w:t>
      </w:r>
    </w:p>
    <w:p w:rsidR="00A271C5" w:rsidRPr="00183F0A" w:rsidRDefault="00A271C5" w:rsidP="0058226B">
      <w:pPr>
        <w:spacing w:after="60" w:line="240" w:lineRule="auto"/>
        <w:ind w:firstLine="720"/>
        <w:jc w:val="both"/>
        <w:rPr>
          <w:rFonts w:ascii="Tahoma" w:hAnsi="Tahoma" w:cs="Tahoma"/>
          <w:sz w:val="20"/>
        </w:rPr>
      </w:pPr>
      <w:r w:rsidRPr="00183F0A">
        <w:rPr>
          <w:rFonts w:ascii="Tahoma" w:hAnsi="Tahoma" w:cs="Tahoma"/>
          <w:sz w:val="20"/>
        </w:rPr>
        <w:t xml:space="preserve">Saskaņā ar atklāta konkursa „Olaines 1.vidusskolas mācību klašu </w:t>
      </w:r>
      <w:proofErr w:type="spellStart"/>
      <w:r w:rsidRPr="00183F0A">
        <w:rPr>
          <w:rFonts w:ascii="Tahoma" w:hAnsi="Tahoma" w:cs="Tahoma"/>
          <w:sz w:val="20"/>
        </w:rPr>
        <w:t>datoraprīkojuma</w:t>
      </w:r>
      <w:proofErr w:type="spellEnd"/>
      <w:r w:rsidRPr="00183F0A">
        <w:rPr>
          <w:rFonts w:ascii="Tahoma" w:hAnsi="Tahoma" w:cs="Tahoma"/>
          <w:sz w:val="20"/>
        </w:rPr>
        <w:t xml:space="preserve"> piegāde”, IDN: ONP 2013/08</w:t>
      </w:r>
      <w:r w:rsidR="00285CF7" w:rsidRPr="00183F0A">
        <w:rPr>
          <w:rFonts w:ascii="Tahoma" w:hAnsi="Tahoma" w:cs="Tahoma"/>
          <w:sz w:val="20"/>
        </w:rPr>
        <w:t>,</w:t>
      </w:r>
      <w:r w:rsidRPr="00183F0A">
        <w:rPr>
          <w:rFonts w:ascii="Tahoma" w:hAnsi="Tahoma" w:cs="Tahoma"/>
          <w:sz w:val="20"/>
        </w:rPr>
        <w:t xml:space="preserve"> noteiktajām atlases prasībām: </w:t>
      </w:r>
    </w:p>
    <w:p w:rsidR="00A271C5" w:rsidRPr="00183F0A" w:rsidRDefault="00285CF7" w:rsidP="0058226B">
      <w:pPr>
        <w:pStyle w:val="ListParagraph"/>
        <w:numPr>
          <w:ilvl w:val="0"/>
          <w:numId w:val="1"/>
        </w:numPr>
        <w:spacing w:after="60" w:line="240" w:lineRule="auto"/>
        <w:ind w:left="284" w:hanging="284"/>
        <w:contextualSpacing w:val="0"/>
        <w:jc w:val="both"/>
        <w:rPr>
          <w:rFonts w:ascii="Tahoma" w:hAnsi="Tahoma" w:cs="Tahoma"/>
          <w:sz w:val="20"/>
        </w:rPr>
      </w:pPr>
      <w:r w:rsidRPr="00183F0A">
        <w:rPr>
          <w:rFonts w:ascii="Tahoma" w:hAnsi="Tahoma" w:cs="Tahoma"/>
          <w:sz w:val="20"/>
        </w:rPr>
        <w:t>p</w:t>
      </w:r>
      <w:r w:rsidR="00A271C5" w:rsidRPr="00183F0A">
        <w:rPr>
          <w:rFonts w:ascii="Tahoma" w:hAnsi="Tahoma" w:cs="Tahoma"/>
          <w:sz w:val="20"/>
        </w:rPr>
        <w:t>retendenta finanšu vidējam neto gada apgrozījumam pēdējo trīs kalendāro gadu laikā (2010., 2011. un 2012.gadā) jā</w:t>
      </w:r>
      <w:r w:rsidRPr="00183F0A">
        <w:rPr>
          <w:rFonts w:ascii="Tahoma" w:hAnsi="Tahoma" w:cs="Tahoma"/>
          <w:sz w:val="20"/>
        </w:rPr>
        <w:t xml:space="preserve">pārsniedz LVL 30 </w:t>
      </w:r>
      <w:r w:rsidR="00A271C5" w:rsidRPr="00183F0A">
        <w:rPr>
          <w:rFonts w:ascii="Tahoma" w:hAnsi="Tahoma" w:cs="Tahoma"/>
          <w:sz w:val="20"/>
        </w:rPr>
        <w:t>000,- (trīsdesmit tūkstošus latus). Pretendentu, kuri dibināti 2010.gada laikā vai pēc 2010.gada, finanšu vidējais neto gada apgrozījums tiek rēķināts par faktiski nostrādāto laiku. (Nolikuma 2.3.punkts).</w:t>
      </w:r>
    </w:p>
    <w:p w:rsidR="00A271C5" w:rsidRPr="00183F0A" w:rsidRDefault="00285CF7" w:rsidP="0058226B">
      <w:pPr>
        <w:pStyle w:val="ListParagraph"/>
        <w:numPr>
          <w:ilvl w:val="0"/>
          <w:numId w:val="1"/>
        </w:numPr>
        <w:spacing w:after="60" w:line="240" w:lineRule="auto"/>
        <w:ind w:left="284" w:hanging="284"/>
        <w:contextualSpacing w:val="0"/>
        <w:jc w:val="both"/>
        <w:rPr>
          <w:rFonts w:ascii="Tahoma" w:hAnsi="Tahoma" w:cs="Tahoma"/>
          <w:sz w:val="20"/>
        </w:rPr>
      </w:pPr>
      <w:r w:rsidRPr="00183F0A">
        <w:rPr>
          <w:rFonts w:ascii="Tahoma" w:hAnsi="Tahoma" w:cs="Tahoma"/>
          <w:sz w:val="20"/>
        </w:rPr>
        <w:t>p</w:t>
      </w:r>
      <w:r w:rsidR="00A271C5" w:rsidRPr="00183F0A">
        <w:rPr>
          <w:rFonts w:ascii="Tahoma" w:hAnsi="Tahoma" w:cs="Tahoma"/>
          <w:sz w:val="20"/>
        </w:rPr>
        <w:t>retendentam jābūt pieredzei līdzīga apjoma preču piegādē pēdējo 3 (trīs) kalendāro gadu laikā (2010., 2011. un 2012.gadā). Tiks uzskatīts, ka Pretendentam ir pieredze līdzīgo preču piegāde minētajā laika periodā, ja izpildās nosacījumi:</w:t>
      </w:r>
    </w:p>
    <w:p w:rsidR="00A271C5" w:rsidRPr="00183F0A" w:rsidRDefault="00A271C5" w:rsidP="0058226B">
      <w:pPr>
        <w:pStyle w:val="ListParagraph"/>
        <w:numPr>
          <w:ilvl w:val="0"/>
          <w:numId w:val="2"/>
        </w:numPr>
        <w:spacing w:after="60" w:line="240" w:lineRule="auto"/>
        <w:ind w:left="426" w:hanging="426"/>
        <w:contextualSpacing w:val="0"/>
        <w:jc w:val="both"/>
        <w:rPr>
          <w:rFonts w:ascii="Tahoma" w:hAnsi="Tahoma" w:cs="Tahoma"/>
          <w:sz w:val="20"/>
        </w:rPr>
      </w:pPr>
      <w:r w:rsidRPr="00183F0A">
        <w:rPr>
          <w:rFonts w:ascii="Tahoma" w:hAnsi="Tahoma" w:cs="Tahoma"/>
          <w:sz w:val="20"/>
        </w:rPr>
        <w:t>gada laikā tas ir piegādājis datortehniku ar programmatūru par summu vienādu vai lielāku par LVL 30 000,- (trīsdesmit tūkstoši lati);</w:t>
      </w:r>
    </w:p>
    <w:p w:rsidR="00A271C5" w:rsidRPr="00183F0A" w:rsidRDefault="00A271C5" w:rsidP="003D457E">
      <w:pPr>
        <w:pStyle w:val="ListParagraph"/>
        <w:numPr>
          <w:ilvl w:val="0"/>
          <w:numId w:val="2"/>
        </w:numPr>
        <w:spacing w:after="0" w:line="240" w:lineRule="auto"/>
        <w:ind w:left="426" w:hanging="426"/>
        <w:contextualSpacing w:val="0"/>
        <w:jc w:val="both"/>
        <w:rPr>
          <w:rFonts w:ascii="Tahoma" w:hAnsi="Tahoma" w:cs="Tahoma"/>
          <w:sz w:val="20"/>
        </w:rPr>
      </w:pPr>
      <w:r w:rsidRPr="00183F0A">
        <w:rPr>
          <w:rFonts w:ascii="Tahoma" w:hAnsi="Tahoma" w:cs="Tahoma"/>
          <w:sz w:val="20"/>
        </w:rPr>
        <w:t>gada laikā tas ir piegādājis vismaz 35 (trīsdesmit piecus) datorus ar programmatūru.</w:t>
      </w:r>
    </w:p>
    <w:p w:rsidR="003D457E" w:rsidRPr="00183F0A" w:rsidRDefault="003D457E" w:rsidP="003D457E">
      <w:pPr>
        <w:pStyle w:val="ListParagraph"/>
        <w:spacing w:after="0" w:line="240" w:lineRule="auto"/>
        <w:ind w:left="426" w:hanging="426"/>
        <w:contextualSpacing w:val="0"/>
        <w:jc w:val="both"/>
        <w:rPr>
          <w:rFonts w:ascii="Tahoma" w:hAnsi="Tahoma" w:cs="Tahoma"/>
          <w:sz w:val="20"/>
        </w:rPr>
      </w:pPr>
    </w:p>
    <w:p w:rsidR="00A271C5" w:rsidRPr="00183F0A" w:rsidRDefault="00A271C5" w:rsidP="0058226B">
      <w:pPr>
        <w:pStyle w:val="ListParagraph"/>
        <w:spacing w:after="60" w:line="240" w:lineRule="auto"/>
        <w:ind w:left="0" w:firstLine="720"/>
        <w:contextualSpacing w:val="0"/>
        <w:jc w:val="both"/>
        <w:rPr>
          <w:rFonts w:ascii="Tahoma" w:hAnsi="Tahoma" w:cs="Tahoma"/>
          <w:sz w:val="20"/>
        </w:rPr>
      </w:pPr>
      <w:r w:rsidRPr="00183F0A">
        <w:rPr>
          <w:rFonts w:ascii="Tahoma" w:hAnsi="Tahoma" w:cs="Tahoma"/>
          <w:sz w:val="20"/>
        </w:rPr>
        <w:t xml:space="preserve">Komisija uzskata, ka šīs prasības nerada ar </w:t>
      </w:r>
      <w:r w:rsidR="00285CF7" w:rsidRPr="00183F0A">
        <w:rPr>
          <w:rFonts w:ascii="Tahoma" w:hAnsi="Tahoma" w:cs="Tahoma"/>
          <w:sz w:val="20"/>
        </w:rPr>
        <w:t>p</w:t>
      </w:r>
      <w:r w:rsidRPr="00183F0A">
        <w:rPr>
          <w:rFonts w:ascii="Tahoma" w:hAnsi="Tahoma" w:cs="Tahoma"/>
          <w:sz w:val="20"/>
        </w:rPr>
        <w:t>asūtītāja vajadzībām nepamatotus ierobežoju</w:t>
      </w:r>
      <w:r w:rsidR="00B4165A" w:rsidRPr="00183F0A">
        <w:rPr>
          <w:rFonts w:ascii="Tahoma" w:hAnsi="Tahoma" w:cs="Tahoma"/>
          <w:sz w:val="20"/>
        </w:rPr>
        <w:t>mus dalībai iepirkuma procedūrā, jo:</w:t>
      </w:r>
    </w:p>
    <w:p w:rsidR="00B4165A" w:rsidRPr="00183F0A" w:rsidRDefault="00B4165A" w:rsidP="0058226B">
      <w:pPr>
        <w:pStyle w:val="ListParagraph"/>
        <w:numPr>
          <w:ilvl w:val="0"/>
          <w:numId w:val="3"/>
        </w:numPr>
        <w:spacing w:after="60" w:line="240" w:lineRule="auto"/>
        <w:ind w:left="284" w:hanging="284"/>
        <w:contextualSpacing w:val="0"/>
        <w:jc w:val="both"/>
        <w:rPr>
          <w:rFonts w:ascii="Tahoma" w:hAnsi="Tahoma" w:cs="Tahoma"/>
          <w:sz w:val="20"/>
        </w:rPr>
      </w:pPr>
      <w:r w:rsidRPr="00183F0A">
        <w:rPr>
          <w:rFonts w:ascii="Tahoma" w:hAnsi="Tahoma" w:cs="Tahoma"/>
          <w:sz w:val="20"/>
        </w:rPr>
        <w:t xml:space="preserve">tā kā konkursa paredzamā līgumcena pirms procedūru veikšanas bija </w:t>
      </w:r>
      <w:r w:rsidR="00285CF7" w:rsidRPr="00183F0A">
        <w:rPr>
          <w:rFonts w:ascii="Tahoma" w:hAnsi="Tahoma" w:cs="Tahoma"/>
          <w:sz w:val="20"/>
        </w:rPr>
        <w:t xml:space="preserve">LVL </w:t>
      </w:r>
      <w:r w:rsidRPr="00183F0A">
        <w:rPr>
          <w:rFonts w:ascii="Tahoma" w:hAnsi="Tahoma" w:cs="Tahoma"/>
          <w:sz w:val="20"/>
        </w:rPr>
        <w:t>30 000 (</w:t>
      </w:r>
      <w:r w:rsidR="00285CF7" w:rsidRPr="00183F0A">
        <w:rPr>
          <w:rFonts w:ascii="Tahoma" w:hAnsi="Tahoma" w:cs="Tahoma"/>
          <w:sz w:val="20"/>
        </w:rPr>
        <w:t>ar</w:t>
      </w:r>
      <w:r w:rsidRPr="00183F0A">
        <w:rPr>
          <w:rFonts w:ascii="Tahoma" w:hAnsi="Tahoma" w:cs="Tahoma"/>
          <w:sz w:val="20"/>
        </w:rPr>
        <w:t xml:space="preserve"> PVN), ir samērīgi pieprasīt </w:t>
      </w:r>
      <w:r w:rsidR="00285CF7" w:rsidRPr="00183F0A">
        <w:rPr>
          <w:rFonts w:ascii="Tahoma" w:hAnsi="Tahoma" w:cs="Tahoma"/>
          <w:sz w:val="20"/>
        </w:rPr>
        <w:t>p</w:t>
      </w:r>
      <w:r w:rsidRPr="00183F0A">
        <w:rPr>
          <w:rFonts w:ascii="Tahoma" w:hAnsi="Tahoma" w:cs="Tahoma"/>
          <w:sz w:val="20"/>
        </w:rPr>
        <w:t>retendentiem vismaz tādu pašu finanšu vidējo gada apgrozījumu un pieredzi datortehnikas piegādē</w:t>
      </w:r>
      <w:r w:rsidR="00A90E8D" w:rsidRPr="00183F0A">
        <w:rPr>
          <w:rFonts w:ascii="Tahoma" w:hAnsi="Tahoma" w:cs="Tahoma"/>
          <w:sz w:val="20"/>
        </w:rPr>
        <w:t xml:space="preserve"> par summu ne mazāku kā paredzamā līgumcena.</w:t>
      </w:r>
    </w:p>
    <w:p w:rsidR="00B4165A" w:rsidRPr="00183F0A" w:rsidRDefault="00540249" w:rsidP="0058226B">
      <w:pPr>
        <w:pStyle w:val="ListParagraph"/>
        <w:numPr>
          <w:ilvl w:val="0"/>
          <w:numId w:val="3"/>
        </w:numPr>
        <w:spacing w:after="60" w:line="240" w:lineRule="auto"/>
        <w:ind w:left="284" w:hanging="284"/>
        <w:contextualSpacing w:val="0"/>
        <w:jc w:val="both"/>
        <w:rPr>
          <w:rFonts w:ascii="Tahoma" w:hAnsi="Tahoma" w:cs="Tahoma"/>
          <w:sz w:val="20"/>
        </w:rPr>
      </w:pPr>
      <w:r w:rsidRPr="00183F0A">
        <w:rPr>
          <w:rFonts w:ascii="Tahoma" w:hAnsi="Tahoma" w:cs="Tahoma"/>
          <w:sz w:val="20"/>
        </w:rPr>
        <w:t>t</w:t>
      </w:r>
      <w:r w:rsidR="00A90E8D" w:rsidRPr="00183F0A">
        <w:rPr>
          <w:rFonts w:ascii="Tahoma" w:hAnsi="Tahoma" w:cs="Tahoma"/>
          <w:sz w:val="20"/>
        </w:rPr>
        <w:t xml:space="preserve">ā kā kopējais datortehnikas ar programmatūru iegādes apjoms ir 35 gabali, ir samērīgi pieprasīt no </w:t>
      </w:r>
      <w:r w:rsidR="00285CF7" w:rsidRPr="00183F0A">
        <w:rPr>
          <w:rFonts w:ascii="Tahoma" w:hAnsi="Tahoma" w:cs="Tahoma"/>
          <w:sz w:val="20"/>
        </w:rPr>
        <w:t>p</w:t>
      </w:r>
      <w:r w:rsidR="00A90E8D" w:rsidRPr="00183F0A">
        <w:rPr>
          <w:rFonts w:ascii="Tahoma" w:hAnsi="Tahoma" w:cs="Tahoma"/>
          <w:sz w:val="20"/>
        </w:rPr>
        <w:t>retendentiem pieredzi datortehnikas ar programmatūru piegādē vismaz tādā pašā apjomā kā iepirkuma minētajā.</w:t>
      </w:r>
    </w:p>
    <w:p w:rsidR="00A271C5" w:rsidRPr="00183F0A" w:rsidRDefault="00540249" w:rsidP="00BE0187">
      <w:pPr>
        <w:pStyle w:val="ListParagraph"/>
        <w:numPr>
          <w:ilvl w:val="0"/>
          <w:numId w:val="3"/>
        </w:numPr>
        <w:spacing w:after="0" w:line="240" w:lineRule="auto"/>
        <w:ind w:left="284" w:hanging="284"/>
        <w:contextualSpacing w:val="0"/>
        <w:jc w:val="both"/>
        <w:rPr>
          <w:rFonts w:ascii="Tahoma" w:hAnsi="Tahoma" w:cs="Tahoma"/>
          <w:sz w:val="20"/>
        </w:rPr>
      </w:pPr>
      <w:r w:rsidRPr="00183F0A">
        <w:rPr>
          <w:rFonts w:ascii="Tahoma" w:hAnsi="Tahoma" w:cs="Tahoma"/>
          <w:sz w:val="20"/>
        </w:rPr>
        <w:t>pirms piedāvājumu iesniegšanas neviens ieinteresētais piegādātājs nav apstrīdējis Nolikumā ietvertās atlases prasības.</w:t>
      </w:r>
    </w:p>
    <w:p w:rsidR="00BE0187" w:rsidRPr="00183F0A" w:rsidRDefault="00BE0187" w:rsidP="00BE0187">
      <w:pPr>
        <w:pStyle w:val="ListParagraph"/>
        <w:spacing w:after="0" w:line="240" w:lineRule="auto"/>
        <w:ind w:left="284"/>
        <w:contextualSpacing w:val="0"/>
        <w:jc w:val="both"/>
        <w:rPr>
          <w:rFonts w:ascii="Tahoma" w:hAnsi="Tahoma" w:cs="Tahoma"/>
          <w:sz w:val="20"/>
        </w:rPr>
      </w:pPr>
    </w:p>
    <w:p w:rsidR="007076B3" w:rsidRPr="00183F0A" w:rsidRDefault="003D457E" w:rsidP="00285CF7">
      <w:pPr>
        <w:spacing w:after="60" w:line="240" w:lineRule="auto"/>
        <w:ind w:firstLine="720"/>
        <w:jc w:val="both"/>
        <w:rPr>
          <w:rFonts w:ascii="Tahoma" w:hAnsi="Tahoma" w:cs="Tahoma"/>
          <w:sz w:val="20"/>
        </w:rPr>
      </w:pPr>
      <w:r w:rsidRPr="00183F0A">
        <w:rPr>
          <w:rFonts w:ascii="Tahoma" w:hAnsi="Tahoma" w:cs="Tahoma"/>
          <w:sz w:val="20"/>
        </w:rPr>
        <w:t xml:space="preserve">Kā arī </w:t>
      </w:r>
      <w:r w:rsidR="007A2114" w:rsidRPr="00183F0A">
        <w:rPr>
          <w:rFonts w:ascii="Tahoma" w:hAnsi="Tahoma" w:cs="Tahoma"/>
          <w:sz w:val="20"/>
        </w:rPr>
        <w:t xml:space="preserve">Iepirkumu komisija </w:t>
      </w:r>
      <w:r w:rsidR="007A2114" w:rsidRPr="00183F0A">
        <w:rPr>
          <w:rFonts w:ascii="Tahoma" w:hAnsi="Tahoma" w:cs="Tahoma"/>
          <w:b/>
          <w:sz w:val="20"/>
        </w:rPr>
        <w:t>konstatē</w:t>
      </w:r>
      <w:r w:rsidR="007A2114" w:rsidRPr="00183F0A">
        <w:rPr>
          <w:rFonts w:ascii="Tahoma" w:hAnsi="Tahoma" w:cs="Tahoma"/>
          <w:sz w:val="20"/>
        </w:rPr>
        <w:t xml:space="preserve">, ka Latvijas datoru iekārtu un piederumu tirgū darbojas vairāk nekā viens atklāta konkursa „Olaines 1.vidusskolas mācību klašu </w:t>
      </w:r>
      <w:proofErr w:type="spellStart"/>
      <w:r w:rsidR="007A2114" w:rsidRPr="00183F0A">
        <w:rPr>
          <w:rFonts w:ascii="Tahoma" w:hAnsi="Tahoma" w:cs="Tahoma"/>
          <w:sz w:val="20"/>
        </w:rPr>
        <w:t>datoraprīkojuma</w:t>
      </w:r>
      <w:proofErr w:type="spellEnd"/>
      <w:r w:rsidR="007A2114" w:rsidRPr="00183F0A">
        <w:rPr>
          <w:rFonts w:ascii="Tahoma" w:hAnsi="Tahoma" w:cs="Tahoma"/>
          <w:sz w:val="20"/>
        </w:rPr>
        <w:t xml:space="preserve"> piegāde”, IDN: ONP 2013/08, atlases prasībām atbilstošs piegādātājs. </w:t>
      </w:r>
      <w:r w:rsidR="005F080E" w:rsidRPr="00183F0A">
        <w:rPr>
          <w:rFonts w:ascii="Tahoma" w:hAnsi="Tahoma" w:cs="Tahoma"/>
          <w:sz w:val="20"/>
        </w:rPr>
        <w:t>Faktiskās situācijas konstatēšanai Iepirkumu komisija izmanto IUB mājaslapā ievietoto informāciju par citu pasūtītāju iepriekš rīkotajiem līdzīgiem iepirkumiem, kuros noteiktās līdzīgas kvalifikācijas prasības un par atbilstošiem atzīti citi p</w:t>
      </w:r>
      <w:r w:rsidR="00285CF7" w:rsidRPr="00183F0A">
        <w:rPr>
          <w:rFonts w:ascii="Tahoma" w:hAnsi="Tahoma" w:cs="Tahoma"/>
          <w:sz w:val="20"/>
        </w:rPr>
        <w:t>retendenti:</w:t>
      </w:r>
    </w:p>
    <w:p w:rsidR="00285CF7" w:rsidRPr="00183F0A" w:rsidRDefault="00523711" w:rsidP="00285CF7">
      <w:pPr>
        <w:pStyle w:val="ListParagraph"/>
        <w:numPr>
          <w:ilvl w:val="0"/>
          <w:numId w:val="5"/>
        </w:numPr>
        <w:spacing w:after="60" w:line="240" w:lineRule="auto"/>
        <w:ind w:left="284" w:hanging="284"/>
        <w:contextualSpacing w:val="0"/>
        <w:jc w:val="both"/>
        <w:rPr>
          <w:rFonts w:ascii="Tahoma" w:hAnsi="Tahoma" w:cs="Tahoma"/>
          <w:sz w:val="20"/>
        </w:rPr>
      </w:pPr>
      <w:r w:rsidRPr="00183F0A">
        <w:rPr>
          <w:rFonts w:ascii="Tahoma" w:hAnsi="Tahoma" w:cs="Tahoma"/>
          <w:sz w:val="20"/>
        </w:rPr>
        <w:t>30.01.2013. Kuldīgas novada pašvaldības izsludināts atklāts konkurss „Datortehnikas piegāde un uzstādīšana Kuldīgas novada izglītības iestādēm” (iepirkuma ID Nr. KNP/2013/10-K). Saskaņā ar pretendentu atlases nosacījumiem (Nolikuma 7.punkts), Pretendentam iepriekšējo trīs gadu laikā, jābūt pieredzei vismaz divu iepirkuma priekšmetam līdzvērtīga (datortehnikas piegāde piedāvātās līgumcenas apjomā) pakalpojumu sniegšanā, par ko ir saņemtas vismaz divas pozitīvas pasūtītāju atsauksmes. Pretendenta finanšu vidējais apgrozījums iepriekšējos trīs gados (vai īsākā laika periodā, ja pretendents ir reģistrēts vēlāk) datortehnikas piegādē ir vismaz divas reizes lielāks nekā pretendenta iesniegtā finanšu piedāvājuma summa.</w:t>
      </w:r>
      <w:r w:rsidR="00412634" w:rsidRPr="00183F0A">
        <w:rPr>
          <w:rFonts w:ascii="Tahoma" w:hAnsi="Tahoma" w:cs="Tahoma"/>
          <w:sz w:val="20"/>
        </w:rPr>
        <w:t xml:space="preserve"> Konkursā ir piedalījušies 3 (trīs) pretendenti</w:t>
      </w:r>
      <w:r w:rsidR="008F1632" w:rsidRPr="00183F0A">
        <w:rPr>
          <w:rFonts w:ascii="Tahoma" w:hAnsi="Tahoma" w:cs="Tahoma"/>
          <w:sz w:val="20"/>
        </w:rPr>
        <w:t>: SIA „ATEA”, AS „</w:t>
      </w:r>
      <w:proofErr w:type="spellStart"/>
      <w:r w:rsidR="008F1632" w:rsidRPr="00183F0A">
        <w:rPr>
          <w:rFonts w:ascii="Tahoma" w:hAnsi="Tahoma" w:cs="Tahoma"/>
          <w:sz w:val="20"/>
        </w:rPr>
        <w:t>Capital</w:t>
      </w:r>
      <w:proofErr w:type="spellEnd"/>
      <w:r w:rsidR="008F1632" w:rsidRPr="00183F0A">
        <w:rPr>
          <w:rFonts w:ascii="Tahoma" w:hAnsi="Tahoma" w:cs="Tahoma"/>
          <w:sz w:val="20"/>
        </w:rPr>
        <w:t xml:space="preserve">” un SIA „MS </w:t>
      </w:r>
      <w:proofErr w:type="spellStart"/>
      <w:r w:rsidR="008F1632" w:rsidRPr="00183F0A">
        <w:rPr>
          <w:rFonts w:ascii="Tahoma" w:hAnsi="Tahoma" w:cs="Tahoma"/>
          <w:sz w:val="20"/>
        </w:rPr>
        <w:t>Modius</w:t>
      </w:r>
      <w:proofErr w:type="spellEnd"/>
      <w:r w:rsidR="008F1632" w:rsidRPr="00183F0A">
        <w:rPr>
          <w:rFonts w:ascii="Tahoma" w:hAnsi="Tahoma" w:cs="Tahoma"/>
          <w:sz w:val="20"/>
        </w:rPr>
        <w:t>”</w:t>
      </w:r>
      <w:r w:rsidR="00412634" w:rsidRPr="00183F0A">
        <w:rPr>
          <w:rFonts w:ascii="Tahoma" w:hAnsi="Tahoma" w:cs="Tahoma"/>
          <w:sz w:val="20"/>
        </w:rPr>
        <w:t>, katrs no viņiem atbilda pretendentu atlases nosacījumiem. Tika noteikts uzvarētājs: SIA „ATEA”, reģ. Nr. 40003312822, ar piedāvāto līgumcenu LVL 26076.33 (bez PVN)</w:t>
      </w:r>
      <w:r w:rsidR="0058226B" w:rsidRPr="00183F0A">
        <w:rPr>
          <w:rFonts w:ascii="Tahoma" w:hAnsi="Tahoma" w:cs="Tahoma"/>
          <w:sz w:val="20"/>
        </w:rPr>
        <w:t>.</w:t>
      </w:r>
    </w:p>
    <w:p w:rsidR="0058226B" w:rsidRPr="00183F0A" w:rsidRDefault="00226106" w:rsidP="00285CF7">
      <w:pPr>
        <w:pStyle w:val="ListParagraph"/>
        <w:numPr>
          <w:ilvl w:val="0"/>
          <w:numId w:val="5"/>
        </w:numPr>
        <w:spacing w:after="120" w:line="240" w:lineRule="auto"/>
        <w:ind w:left="284" w:hanging="284"/>
        <w:contextualSpacing w:val="0"/>
        <w:jc w:val="both"/>
        <w:rPr>
          <w:rFonts w:ascii="Tahoma" w:hAnsi="Tahoma" w:cs="Tahoma"/>
          <w:sz w:val="20"/>
        </w:rPr>
      </w:pPr>
      <w:r w:rsidRPr="00183F0A">
        <w:rPr>
          <w:rFonts w:ascii="Tahoma" w:hAnsi="Tahoma" w:cs="Tahoma"/>
          <w:sz w:val="20"/>
        </w:rPr>
        <w:t>14.09.2012. AS „Latvijas Valsts meži” izsludināts atklāts konkurss „Par datortehnikas piegādi A/S „</w:t>
      </w:r>
      <w:proofErr w:type="gramStart"/>
      <w:r w:rsidRPr="00183F0A">
        <w:rPr>
          <w:rFonts w:ascii="Tahoma" w:hAnsi="Tahoma" w:cs="Tahoma"/>
          <w:sz w:val="20"/>
        </w:rPr>
        <w:t>Latvijas valsts meži</w:t>
      </w:r>
      <w:proofErr w:type="gramEnd"/>
      <w:r w:rsidRPr="00183F0A">
        <w:rPr>
          <w:rFonts w:ascii="Tahoma" w:hAnsi="Tahoma" w:cs="Tahoma"/>
          <w:sz w:val="20"/>
        </w:rPr>
        <w:t>” vajadzībām”, (</w:t>
      </w:r>
      <w:proofErr w:type="spellStart"/>
      <w:r w:rsidRPr="00183F0A">
        <w:rPr>
          <w:rFonts w:ascii="Tahoma" w:hAnsi="Tahoma" w:cs="Tahoma"/>
          <w:sz w:val="20"/>
        </w:rPr>
        <w:t>Id.Nr.AS</w:t>
      </w:r>
      <w:proofErr w:type="spellEnd"/>
      <w:r w:rsidRPr="00183F0A">
        <w:rPr>
          <w:rFonts w:ascii="Tahoma" w:hAnsi="Tahoma" w:cs="Tahoma"/>
          <w:sz w:val="20"/>
        </w:rPr>
        <w:t xml:space="preserve"> LVM CA/2012/361/ak). </w:t>
      </w:r>
      <w:r w:rsidR="00804514" w:rsidRPr="00183F0A">
        <w:rPr>
          <w:rFonts w:ascii="Tahoma" w:hAnsi="Tahoma" w:cs="Tahoma"/>
          <w:sz w:val="20"/>
        </w:rPr>
        <w:t xml:space="preserve">Saskaņā ar prasībām attiecībā uz </w:t>
      </w:r>
      <w:r w:rsidR="00285CF7" w:rsidRPr="00183F0A">
        <w:rPr>
          <w:rFonts w:ascii="Tahoma" w:hAnsi="Tahoma" w:cs="Tahoma"/>
          <w:sz w:val="20"/>
        </w:rPr>
        <w:t>p</w:t>
      </w:r>
      <w:r w:rsidR="00804514" w:rsidRPr="00183F0A">
        <w:rPr>
          <w:rFonts w:ascii="Tahoma" w:hAnsi="Tahoma" w:cs="Tahoma"/>
          <w:sz w:val="20"/>
        </w:rPr>
        <w:t xml:space="preserve">retendenta profesionālām spējām sniegt pakalpojumus (Nolikuma 6.1.punkts), </w:t>
      </w:r>
      <w:r w:rsidR="00285CF7" w:rsidRPr="00183F0A">
        <w:rPr>
          <w:rFonts w:ascii="Tahoma" w:hAnsi="Tahoma" w:cs="Tahoma"/>
          <w:sz w:val="20"/>
        </w:rPr>
        <w:t>p</w:t>
      </w:r>
      <w:r w:rsidR="00804514" w:rsidRPr="00183F0A">
        <w:rPr>
          <w:rFonts w:ascii="Tahoma" w:hAnsi="Tahoma" w:cs="Tahoma"/>
          <w:sz w:val="20"/>
        </w:rPr>
        <w:t xml:space="preserve">retendents pēdējo 2 (divu) gadu laikā līdz piedāvājuma iesniegšanai ir veicis vismaz iepirkuma priekšmetam skaita ziņā līdzvērtīgu vai lielāka apjoma datoru piegādi Eiropas Savienības valstīs un/vai Latvijā. Par līdzvērtīgu piegāde tiks uzskatīta, ja līgumsaistību ietvaros vienam vai vairākiem klientiem kopā tika piegādātas vismaz: 1.iepirkuma daļā vismaz 50 portatīvo datoru vienības, katrā atsevišķā piegādē ne mazāk kā 10 vienības; 2.iepirkumu daļā vismaz 75 monitoru vienības, katrā atsevišķā piegādē ne mazāk kā 10 </w:t>
      </w:r>
      <w:r w:rsidR="00804514" w:rsidRPr="00183F0A">
        <w:rPr>
          <w:rFonts w:ascii="Tahoma" w:hAnsi="Tahoma" w:cs="Tahoma"/>
          <w:sz w:val="20"/>
        </w:rPr>
        <w:lastRenderedPageBreak/>
        <w:t>vienības; 3.iepirkuma daļā vismaz 25 plāno klientu vienības, katrā atsevišķā piegādē ne mazāk kā 5 vienības. Konkursā ir piedalījušies 3 (trīs) pretendenti, tika noteikts uzvarētājs: SIA "</w:t>
      </w:r>
      <w:proofErr w:type="spellStart"/>
      <w:r w:rsidR="00804514" w:rsidRPr="00183F0A">
        <w:rPr>
          <w:rFonts w:ascii="Tahoma" w:hAnsi="Tahoma" w:cs="Tahoma"/>
          <w:sz w:val="20"/>
        </w:rPr>
        <w:t>TelCom</w:t>
      </w:r>
      <w:proofErr w:type="spellEnd"/>
      <w:r w:rsidR="00804514" w:rsidRPr="00183F0A">
        <w:rPr>
          <w:rFonts w:ascii="Tahoma" w:hAnsi="Tahoma" w:cs="Tahoma"/>
          <w:sz w:val="20"/>
        </w:rPr>
        <w:t>", reģ. Nr. 40003899464, ar piedāvāto līgumcenu LVL 58899.50 (bez PVN).</w:t>
      </w:r>
    </w:p>
    <w:p w:rsidR="006457DD" w:rsidRPr="00183F0A" w:rsidRDefault="006457DD" w:rsidP="00F8485B">
      <w:pPr>
        <w:pStyle w:val="ListParagraph"/>
        <w:spacing w:after="0" w:line="240" w:lineRule="auto"/>
        <w:ind w:left="0" w:firstLine="709"/>
        <w:jc w:val="both"/>
        <w:rPr>
          <w:rFonts w:ascii="Tahoma" w:hAnsi="Tahoma" w:cs="Tahoma"/>
          <w:sz w:val="20"/>
        </w:rPr>
      </w:pPr>
      <w:r w:rsidRPr="00183F0A">
        <w:rPr>
          <w:rFonts w:ascii="Tahoma" w:hAnsi="Tahoma" w:cs="Tahoma"/>
          <w:sz w:val="20"/>
        </w:rPr>
        <w:t>Izpētot pieejamo informāciju no Elektroniskās iepirkumu sistēmas datiem</w:t>
      </w:r>
      <w:r w:rsidR="00663E47" w:rsidRPr="00183F0A">
        <w:rPr>
          <w:rFonts w:ascii="Tahoma" w:hAnsi="Tahoma" w:cs="Tahoma"/>
          <w:sz w:val="20"/>
        </w:rPr>
        <w:t>, komisija konstatē, ka 30.12.2011. tika rīkots Valsts reģionālās attīstības aģentūras atklāts konkurss par datortehnikas piegādi elektronisko iepirkumu sistēmas dalībniekiem, kurā piedalījās un tika noteikti kā uzvarētāji 7 (septiņi) pretendenti: SIA „</w:t>
      </w:r>
      <w:proofErr w:type="spellStart"/>
      <w:r w:rsidR="00663E47" w:rsidRPr="00183F0A">
        <w:rPr>
          <w:rFonts w:ascii="Tahoma" w:hAnsi="Tahoma" w:cs="Tahoma"/>
          <w:sz w:val="20"/>
        </w:rPr>
        <w:t>MarkIT</w:t>
      </w:r>
      <w:proofErr w:type="spellEnd"/>
      <w:r w:rsidR="00663E47" w:rsidRPr="00183F0A">
        <w:rPr>
          <w:rFonts w:ascii="Tahoma" w:hAnsi="Tahoma" w:cs="Tahoma"/>
          <w:sz w:val="20"/>
        </w:rPr>
        <w:t xml:space="preserve"> Latvija”, UAB </w:t>
      </w:r>
      <w:proofErr w:type="spellStart"/>
      <w:r w:rsidR="00663E47" w:rsidRPr="00183F0A">
        <w:rPr>
          <w:rFonts w:ascii="Tahoma" w:hAnsi="Tahoma" w:cs="Tahoma"/>
          <w:sz w:val="20"/>
        </w:rPr>
        <w:t>Komparsa</w:t>
      </w:r>
      <w:proofErr w:type="spellEnd"/>
      <w:r w:rsidR="00663E47" w:rsidRPr="00183F0A">
        <w:rPr>
          <w:rFonts w:ascii="Tahoma" w:hAnsi="Tahoma" w:cs="Tahoma"/>
          <w:sz w:val="20"/>
        </w:rPr>
        <w:t>, AS „</w:t>
      </w:r>
      <w:proofErr w:type="spellStart"/>
      <w:r w:rsidR="00663E47" w:rsidRPr="00183F0A">
        <w:rPr>
          <w:rFonts w:ascii="Tahoma" w:hAnsi="Tahoma" w:cs="Tahoma"/>
          <w:sz w:val="20"/>
        </w:rPr>
        <w:t>Capital</w:t>
      </w:r>
      <w:proofErr w:type="spellEnd"/>
      <w:r w:rsidR="00663E47" w:rsidRPr="00183F0A">
        <w:rPr>
          <w:rFonts w:ascii="Tahoma" w:hAnsi="Tahoma" w:cs="Tahoma"/>
          <w:sz w:val="20"/>
        </w:rPr>
        <w:t>”, SIA „</w:t>
      </w:r>
      <w:proofErr w:type="spellStart"/>
      <w:r w:rsidR="00663E47" w:rsidRPr="00183F0A">
        <w:rPr>
          <w:rFonts w:ascii="Tahoma" w:hAnsi="Tahoma" w:cs="Tahoma"/>
          <w:sz w:val="20"/>
        </w:rPr>
        <w:t>Datakom</w:t>
      </w:r>
      <w:proofErr w:type="spellEnd"/>
      <w:r w:rsidR="00663E47" w:rsidRPr="00183F0A">
        <w:rPr>
          <w:rFonts w:ascii="Tahoma" w:hAnsi="Tahoma" w:cs="Tahoma"/>
          <w:sz w:val="20"/>
        </w:rPr>
        <w:t>”, SIA „</w:t>
      </w:r>
      <w:proofErr w:type="spellStart"/>
      <w:r w:rsidR="00663E47" w:rsidRPr="00183F0A">
        <w:rPr>
          <w:rFonts w:ascii="Tahoma" w:hAnsi="Tahoma" w:cs="Tahoma"/>
          <w:sz w:val="20"/>
        </w:rPr>
        <w:t>TelCom</w:t>
      </w:r>
      <w:proofErr w:type="spellEnd"/>
      <w:r w:rsidR="00663E47" w:rsidRPr="00183F0A">
        <w:rPr>
          <w:rFonts w:ascii="Tahoma" w:hAnsi="Tahoma" w:cs="Tahoma"/>
          <w:sz w:val="20"/>
        </w:rPr>
        <w:t>”, SIA „Baltijas Informācijas Tehnoloģijas” un SIA „</w:t>
      </w:r>
      <w:proofErr w:type="spellStart"/>
      <w:r w:rsidR="00663E47" w:rsidRPr="00183F0A">
        <w:rPr>
          <w:rFonts w:ascii="Tahoma" w:hAnsi="Tahoma" w:cs="Tahoma"/>
          <w:sz w:val="20"/>
        </w:rPr>
        <w:t>Atea</w:t>
      </w:r>
      <w:proofErr w:type="spellEnd"/>
      <w:r w:rsidR="00663E47" w:rsidRPr="00183F0A">
        <w:rPr>
          <w:rFonts w:ascii="Tahoma" w:hAnsi="Tahoma" w:cs="Tahoma"/>
          <w:sz w:val="20"/>
        </w:rPr>
        <w:t>”. Pēc konkursa rezultātiem tika noslēgtās vispārīgās vienošanās par kopējo līgumcenu LVL 6 000 000,00.</w:t>
      </w:r>
    </w:p>
    <w:p w:rsidR="00663E47" w:rsidRPr="00183F0A" w:rsidRDefault="00663E47" w:rsidP="00663E47">
      <w:pPr>
        <w:pStyle w:val="ListParagraph"/>
        <w:spacing w:after="0" w:line="240" w:lineRule="auto"/>
        <w:ind w:left="0" w:firstLine="709"/>
        <w:jc w:val="both"/>
        <w:rPr>
          <w:rFonts w:ascii="Tahoma" w:hAnsi="Tahoma" w:cs="Tahoma"/>
          <w:sz w:val="20"/>
        </w:rPr>
      </w:pPr>
      <w:r w:rsidRPr="00183F0A">
        <w:rPr>
          <w:rFonts w:ascii="Tahoma" w:hAnsi="Tahoma" w:cs="Tahoma"/>
          <w:sz w:val="20"/>
        </w:rPr>
        <w:t>Iepirkumu komisija secina, ka tie pretendenti, kuri piedalījās iepriekš minētos konkursos varēja piedalīties arī Olaines novada pašvaldības rīkotajā konkursā, jo to kvalifikācija atbilst Iepirkumu komisijas izvirzītajam prasību līmenim. Piemēram, AS „</w:t>
      </w:r>
      <w:proofErr w:type="spellStart"/>
      <w:r w:rsidRPr="00183F0A">
        <w:rPr>
          <w:rFonts w:ascii="Tahoma" w:hAnsi="Tahoma" w:cs="Tahoma"/>
          <w:sz w:val="20"/>
        </w:rPr>
        <w:t>Capital</w:t>
      </w:r>
      <w:proofErr w:type="spellEnd"/>
      <w:r w:rsidRPr="00183F0A">
        <w:rPr>
          <w:rFonts w:ascii="Tahoma" w:hAnsi="Tahoma" w:cs="Tahoma"/>
          <w:sz w:val="20"/>
        </w:rPr>
        <w:t>” ir viena no vadošajām Latvijas informāciju tehnoloģiju kompānijām ar 20 gadu darbības pieredzi un 13 miljonu latu apgrozījumu, SIA „ATEA” viens no atpazīstamākajiem un lielākajiem datortehnikas ražotājiem, piegādātājiem un apkalpotājiem Latvijā.</w:t>
      </w:r>
    </w:p>
    <w:p w:rsidR="006457DD" w:rsidRPr="00183F0A" w:rsidRDefault="006457DD" w:rsidP="00F8485B">
      <w:pPr>
        <w:pStyle w:val="ListParagraph"/>
        <w:spacing w:after="0" w:line="240" w:lineRule="auto"/>
        <w:ind w:left="0" w:firstLine="709"/>
        <w:jc w:val="both"/>
        <w:rPr>
          <w:rFonts w:ascii="Tahoma" w:hAnsi="Tahoma" w:cs="Tahoma"/>
          <w:sz w:val="20"/>
        </w:rPr>
      </w:pPr>
    </w:p>
    <w:p w:rsidR="00F8485B" w:rsidRPr="00183F0A" w:rsidRDefault="00F8485B" w:rsidP="00F8485B">
      <w:pPr>
        <w:pStyle w:val="ListParagraph"/>
        <w:spacing w:after="0" w:line="240" w:lineRule="auto"/>
        <w:ind w:left="0" w:firstLine="709"/>
        <w:jc w:val="both"/>
        <w:rPr>
          <w:rFonts w:ascii="Tahoma" w:hAnsi="Tahoma" w:cs="Tahoma"/>
          <w:sz w:val="20"/>
        </w:rPr>
      </w:pPr>
      <w:r w:rsidRPr="00183F0A">
        <w:rPr>
          <w:rFonts w:ascii="Tahoma" w:hAnsi="Tahoma" w:cs="Tahoma"/>
          <w:sz w:val="20"/>
        </w:rPr>
        <w:t xml:space="preserve">Tāpēc </w:t>
      </w:r>
      <w:r w:rsidR="007A2114" w:rsidRPr="00183F0A">
        <w:rPr>
          <w:rFonts w:ascii="Tahoma" w:hAnsi="Tahoma" w:cs="Tahoma"/>
          <w:sz w:val="20"/>
        </w:rPr>
        <w:t>Iepirkumu komisija uzskata,</w:t>
      </w:r>
      <w:r w:rsidRPr="00183F0A">
        <w:rPr>
          <w:rFonts w:ascii="Tahoma" w:hAnsi="Tahoma" w:cs="Tahoma"/>
          <w:sz w:val="20"/>
        </w:rPr>
        <w:t xml:space="preserve"> ka </w:t>
      </w:r>
      <w:r w:rsidR="007A2114" w:rsidRPr="00183F0A">
        <w:rPr>
          <w:rFonts w:ascii="Tahoma" w:hAnsi="Tahoma" w:cs="Tahoma"/>
          <w:sz w:val="20"/>
        </w:rPr>
        <w:t>ir saņemts tikai viens pretendentu atlases prasībām atbilstošs piedāvājums ar at</w:t>
      </w:r>
      <w:r w:rsidRPr="00183F0A">
        <w:rPr>
          <w:rFonts w:ascii="Tahoma" w:hAnsi="Tahoma" w:cs="Tahoma"/>
          <w:sz w:val="20"/>
        </w:rPr>
        <w:t>klāta konkursa atlases prasībām</w:t>
      </w:r>
      <w:r w:rsidR="007A2114" w:rsidRPr="00183F0A">
        <w:rPr>
          <w:rFonts w:ascii="Tahoma" w:hAnsi="Tahoma" w:cs="Tahoma"/>
          <w:sz w:val="20"/>
        </w:rPr>
        <w:t xml:space="preserve"> nesaistītu iemeslu dēļ, </w:t>
      </w:r>
      <w:r w:rsidRPr="00183F0A">
        <w:rPr>
          <w:rFonts w:ascii="Tahoma" w:hAnsi="Tahoma" w:cs="Tahoma"/>
          <w:sz w:val="20"/>
        </w:rPr>
        <w:t xml:space="preserve">piem., piedalīšanās citos vairākos iepirkumos vai projektos. Komisija </w:t>
      </w:r>
      <w:r w:rsidR="007A2114" w:rsidRPr="00183F0A">
        <w:rPr>
          <w:rFonts w:ascii="Tahoma" w:hAnsi="Tahoma" w:cs="Tahoma"/>
          <w:b/>
          <w:sz w:val="20"/>
        </w:rPr>
        <w:t>pieņem lēmumu</w:t>
      </w:r>
      <w:r w:rsidR="007A2114" w:rsidRPr="00183F0A">
        <w:rPr>
          <w:rFonts w:ascii="Tahoma" w:hAnsi="Tahoma" w:cs="Tahoma"/>
          <w:sz w:val="20"/>
        </w:rPr>
        <w:t xml:space="preserve"> turpināt iepirkumu procedūru.</w:t>
      </w:r>
      <w:r w:rsidRPr="00183F0A">
        <w:rPr>
          <w:rFonts w:ascii="Tahoma" w:hAnsi="Tahoma" w:cs="Tahoma"/>
          <w:sz w:val="20"/>
        </w:rPr>
        <w:t xml:space="preserve"> </w:t>
      </w:r>
    </w:p>
    <w:p w:rsidR="007A2114" w:rsidRDefault="007A2114" w:rsidP="005F080E">
      <w:pPr>
        <w:spacing w:after="0" w:line="240" w:lineRule="auto"/>
        <w:ind w:firstLine="720"/>
        <w:jc w:val="both"/>
        <w:rPr>
          <w:rFonts w:ascii="Tahoma" w:hAnsi="Tahoma" w:cs="Tahoma"/>
          <w:sz w:val="20"/>
        </w:rPr>
      </w:pPr>
    </w:p>
    <w:p w:rsidR="004467AD" w:rsidRDefault="004467AD" w:rsidP="005F080E">
      <w:pPr>
        <w:spacing w:after="0" w:line="240" w:lineRule="auto"/>
        <w:ind w:firstLine="720"/>
        <w:jc w:val="both"/>
        <w:rPr>
          <w:rFonts w:ascii="Tahoma" w:hAnsi="Tahoma" w:cs="Tahoma"/>
          <w:sz w:val="18"/>
        </w:rPr>
      </w:pPr>
    </w:p>
    <w:p w:rsidR="004467AD" w:rsidRDefault="004467AD" w:rsidP="005F080E">
      <w:pPr>
        <w:spacing w:after="0" w:line="240" w:lineRule="auto"/>
        <w:ind w:firstLine="720"/>
        <w:jc w:val="both"/>
        <w:rPr>
          <w:rFonts w:ascii="Tahoma" w:hAnsi="Tahoma" w:cs="Tahoma"/>
          <w:sz w:val="18"/>
        </w:rPr>
      </w:pPr>
    </w:p>
    <w:p w:rsidR="004467AD" w:rsidRPr="004467AD" w:rsidRDefault="004467AD" w:rsidP="005F080E">
      <w:pPr>
        <w:spacing w:after="0" w:line="240" w:lineRule="auto"/>
        <w:ind w:firstLine="720"/>
        <w:jc w:val="both"/>
        <w:rPr>
          <w:rFonts w:ascii="Tahoma" w:hAnsi="Tahoma" w:cs="Tahoma"/>
          <w:sz w:val="18"/>
        </w:rPr>
      </w:pPr>
    </w:p>
    <w:p w:rsidR="004467AD" w:rsidRPr="004467AD" w:rsidRDefault="004467AD" w:rsidP="004467AD">
      <w:pPr>
        <w:tabs>
          <w:tab w:val="left" w:pos="6521"/>
          <w:tab w:val="left" w:pos="7020"/>
        </w:tabs>
        <w:spacing w:after="0" w:line="240" w:lineRule="auto"/>
        <w:rPr>
          <w:rFonts w:ascii="Tahoma" w:eastAsia="Times New Roman" w:hAnsi="Tahoma" w:cs="Tahoma"/>
          <w:sz w:val="20"/>
        </w:rPr>
      </w:pPr>
      <w:r w:rsidRPr="004467AD">
        <w:rPr>
          <w:rFonts w:ascii="Tahoma" w:eastAsia="Times New Roman" w:hAnsi="Tahoma" w:cs="Tahoma"/>
          <w:sz w:val="20"/>
        </w:rPr>
        <w:t>Komisijas priekšsēdētājs</w:t>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t>A.Bergs</w:t>
      </w:r>
    </w:p>
    <w:p w:rsidR="004467AD" w:rsidRPr="004467AD" w:rsidRDefault="004467AD" w:rsidP="004467AD">
      <w:pPr>
        <w:tabs>
          <w:tab w:val="left" w:pos="6521"/>
          <w:tab w:val="left" w:pos="7020"/>
        </w:tabs>
        <w:spacing w:after="0" w:line="240" w:lineRule="auto"/>
        <w:rPr>
          <w:rFonts w:ascii="Tahoma" w:eastAsia="Times New Roman" w:hAnsi="Tahoma" w:cs="Tahoma"/>
          <w:sz w:val="20"/>
        </w:rPr>
      </w:pPr>
    </w:p>
    <w:p w:rsidR="004467AD" w:rsidRPr="004467AD" w:rsidRDefault="004467AD" w:rsidP="004467AD">
      <w:pPr>
        <w:tabs>
          <w:tab w:val="left" w:pos="6521"/>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 xml:space="preserve">Komisijas locekļi: </w:t>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proofErr w:type="spellStart"/>
      <w:r w:rsidRPr="004467AD">
        <w:rPr>
          <w:rFonts w:ascii="Tahoma" w:eastAsia="Times New Roman" w:hAnsi="Tahoma" w:cs="Tahoma"/>
          <w:sz w:val="20"/>
        </w:rPr>
        <w:t>K.Matuzone</w:t>
      </w:r>
      <w:proofErr w:type="spellEnd"/>
      <w:r w:rsidRPr="004467AD">
        <w:rPr>
          <w:rFonts w:ascii="Tahoma" w:eastAsia="Times New Roman" w:hAnsi="Tahoma" w:cs="Tahoma"/>
          <w:sz w:val="20"/>
        </w:rPr>
        <w:t xml:space="preserve"> </w:t>
      </w:r>
      <w:r w:rsidRPr="004467AD">
        <w:rPr>
          <w:rFonts w:ascii="Tahoma" w:eastAsia="Times New Roman" w:hAnsi="Tahoma" w:cs="Tahoma"/>
          <w:sz w:val="20"/>
        </w:rPr>
        <w:tab/>
      </w:r>
      <w:r w:rsidRPr="004467AD">
        <w:rPr>
          <w:rFonts w:ascii="Tahoma" w:eastAsia="Times New Roman" w:hAnsi="Tahoma" w:cs="Tahoma"/>
          <w:sz w:val="20"/>
        </w:rPr>
        <w:tab/>
      </w:r>
    </w:p>
    <w:p w:rsidR="004467AD" w:rsidRPr="004467AD" w:rsidRDefault="004467AD" w:rsidP="004467AD">
      <w:pPr>
        <w:tabs>
          <w:tab w:val="left" w:pos="4395"/>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t>S.Kirilovs</w:t>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p>
    <w:p w:rsidR="004467AD" w:rsidRPr="004467AD" w:rsidRDefault="004467AD" w:rsidP="004467AD">
      <w:pPr>
        <w:tabs>
          <w:tab w:val="left" w:pos="4395"/>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proofErr w:type="spellStart"/>
      <w:r w:rsidRPr="004467AD">
        <w:rPr>
          <w:rFonts w:ascii="Tahoma" w:eastAsia="Times New Roman" w:hAnsi="Tahoma" w:cs="Tahoma"/>
          <w:sz w:val="20"/>
        </w:rPr>
        <w:t>I.Čepule</w:t>
      </w:r>
      <w:proofErr w:type="spellEnd"/>
      <w:r w:rsidRPr="004467AD">
        <w:rPr>
          <w:rFonts w:ascii="Tahoma" w:eastAsia="Times New Roman" w:hAnsi="Tahoma" w:cs="Tahoma"/>
          <w:sz w:val="20"/>
        </w:rPr>
        <w:t xml:space="preserve"> </w:t>
      </w:r>
    </w:p>
    <w:p w:rsidR="004467AD" w:rsidRPr="004467AD" w:rsidRDefault="004467AD" w:rsidP="004467AD">
      <w:pPr>
        <w:tabs>
          <w:tab w:val="left" w:pos="4395"/>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t>S.Rasa-</w:t>
      </w:r>
      <w:proofErr w:type="spellStart"/>
      <w:r w:rsidRPr="004467AD">
        <w:rPr>
          <w:rFonts w:ascii="Tahoma" w:eastAsia="Times New Roman" w:hAnsi="Tahoma" w:cs="Tahoma"/>
          <w:sz w:val="20"/>
        </w:rPr>
        <w:t>Daukše</w:t>
      </w:r>
      <w:proofErr w:type="spellEnd"/>
      <w:r w:rsidRPr="004467AD">
        <w:rPr>
          <w:rFonts w:ascii="Tahoma" w:eastAsia="Times New Roman" w:hAnsi="Tahoma" w:cs="Tahoma"/>
          <w:sz w:val="20"/>
        </w:rPr>
        <w:t xml:space="preserve"> </w:t>
      </w:r>
    </w:p>
    <w:p w:rsidR="004467AD" w:rsidRPr="004467AD" w:rsidRDefault="004467AD" w:rsidP="004467AD">
      <w:pPr>
        <w:tabs>
          <w:tab w:val="left" w:pos="4395"/>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proofErr w:type="spellStart"/>
      <w:r w:rsidRPr="004467AD">
        <w:rPr>
          <w:rFonts w:ascii="Tahoma" w:eastAsia="Times New Roman" w:hAnsi="Tahoma" w:cs="Tahoma"/>
          <w:sz w:val="20"/>
        </w:rPr>
        <w:t>I.Lavrinoviča</w:t>
      </w:r>
      <w:proofErr w:type="spellEnd"/>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p>
    <w:p w:rsidR="004467AD" w:rsidRPr="004467AD" w:rsidRDefault="004467AD" w:rsidP="004467AD">
      <w:pPr>
        <w:tabs>
          <w:tab w:val="left" w:pos="4395"/>
          <w:tab w:val="left" w:pos="7020"/>
        </w:tabs>
        <w:spacing w:after="0" w:line="240" w:lineRule="auto"/>
        <w:rPr>
          <w:rFonts w:ascii="Tahoma" w:eastAsia="Times New Roman" w:hAnsi="Tahoma" w:cs="Tahoma"/>
          <w:sz w:val="20"/>
        </w:rPr>
      </w:pPr>
    </w:p>
    <w:p w:rsidR="004467AD" w:rsidRPr="004467AD" w:rsidRDefault="004467AD" w:rsidP="004467AD">
      <w:pPr>
        <w:tabs>
          <w:tab w:val="left" w:pos="4395"/>
          <w:tab w:val="left" w:pos="7020"/>
        </w:tabs>
        <w:spacing w:after="0" w:line="240" w:lineRule="auto"/>
        <w:rPr>
          <w:rFonts w:ascii="Tahoma" w:eastAsia="Times New Roman" w:hAnsi="Tahoma" w:cs="Tahoma"/>
          <w:sz w:val="20"/>
        </w:rPr>
      </w:pP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r>
      <w:r w:rsidRPr="004467AD">
        <w:rPr>
          <w:rFonts w:ascii="Tahoma" w:eastAsia="Times New Roman" w:hAnsi="Tahoma" w:cs="Tahoma"/>
          <w:sz w:val="20"/>
        </w:rPr>
        <w:tab/>
        <w:t>M.Jurša</w:t>
      </w:r>
    </w:p>
    <w:p w:rsidR="004467AD" w:rsidRPr="00183F0A" w:rsidRDefault="004467AD" w:rsidP="005F080E">
      <w:pPr>
        <w:spacing w:after="0" w:line="240" w:lineRule="auto"/>
        <w:ind w:firstLine="720"/>
        <w:jc w:val="both"/>
        <w:rPr>
          <w:rFonts w:ascii="Tahoma" w:hAnsi="Tahoma" w:cs="Tahoma"/>
          <w:sz w:val="20"/>
        </w:rPr>
      </w:pPr>
    </w:p>
    <w:p w:rsidR="004467AD" w:rsidRPr="00183F0A" w:rsidRDefault="004467AD">
      <w:pPr>
        <w:spacing w:after="0" w:line="240" w:lineRule="auto"/>
        <w:ind w:firstLine="720"/>
        <w:jc w:val="both"/>
        <w:rPr>
          <w:rFonts w:ascii="Tahoma" w:hAnsi="Tahoma" w:cs="Tahoma"/>
          <w:sz w:val="20"/>
        </w:rPr>
      </w:pPr>
    </w:p>
    <w:sectPr w:rsidR="004467AD" w:rsidRPr="00183F0A" w:rsidSect="00183F0A">
      <w:pgSz w:w="11906" w:h="16838"/>
      <w:pgMar w:top="1418"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FC9"/>
    <w:multiLevelType w:val="hybridMultilevel"/>
    <w:tmpl w:val="972031FE"/>
    <w:lvl w:ilvl="0" w:tplc="69DCA1FE">
      <w:start w:val="1"/>
      <w:numFmt w:val="decimal"/>
      <w:lvlText w:val="2.%1. "/>
      <w:lvlJc w:val="left"/>
      <w:pPr>
        <w:ind w:left="1440" w:hanging="360"/>
      </w:pPr>
      <w:rPr>
        <w:rFonts w:asciiTheme="minorHAnsi" w:hAnsiTheme="minorHAnsi" w:cs="Times New Roman" w:hint="default"/>
        <w:b w:val="0"/>
        <w:bCs w:val="0"/>
        <w:i w:val="0"/>
        <w:iCs w:val="0"/>
        <w:sz w:val="20"/>
        <w:szCs w:val="24"/>
        <w:u w:val="no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106F1975"/>
    <w:multiLevelType w:val="hybridMultilevel"/>
    <w:tmpl w:val="01847822"/>
    <w:lvl w:ilvl="0" w:tplc="0426000F">
      <w:start w:val="1"/>
      <w:numFmt w:val="decimal"/>
      <w:lvlText w:val="%1."/>
      <w:lvlJc w:val="left"/>
      <w:pPr>
        <w:ind w:left="1440" w:hanging="360"/>
      </w:pPr>
      <w:rPr>
        <w:rFonts w:hint="default"/>
        <w:b w:val="0"/>
        <w:bCs w:val="0"/>
        <w:i w:val="0"/>
        <w:iCs w:val="0"/>
        <w:sz w:val="20"/>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E330CA1"/>
    <w:multiLevelType w:val="hybridMultilevel"/>
    <w:tmpl w:val="74DEE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9C43082"/>
    <w:multiLevelType w:val="hybridMultilevel"/>
    <w:tmpl w:val="750A6B7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nsid w:val="50F03D85"/>
    <w:multiLevelType w:val="hybridMultilevel"/>
    <w:tmpl w:val="8AA6AE0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E40"/>
    <w:rsid w:val="000016E8"/>
    <w:rsid w:val="00183F0A"/>
    <w:rsid w:val="001D2F40"/>
    <w:rsid w:val="00226106"/>
    <w:rsid w:val="00285CF7"/>
    <w:rsid w:val="002D5B4D"/>
    <w:rsid w:val="003D457E"/>
    <w:rsid w:val="00412634"/>
    <w:rsid w:val="004467AD"/>
    <w:rsid w:val="004A165B"/>
    <w:rsid w:val="00523711"/>
    <w:rsid w:val="00540249"/>
    <w:rsid w:val="0058226B"/>
    <w:rsid w:val="005F080E"/>
    <w:rsid w:val="006457DD"/>
    <w:rsid w:val="00647008"/>
    <w:rsid w:val="00663E47"/>
    <w:rsid w:val="00676901"/>
    <w:rsid w:val="006F6A66"/>
    <w:rsid w:val="007076B3"/>
    <w:rsid w:val="007A2114"/>
    <w:rsid w:val="00804514"/>
    <w:rsid w:val="008C62FD"/>
    <w:rsid w:val="008C705C"/>
    <w:rsid w:val="008F1632"/>
    <w:rsid w:val="009309AA"/>
    <w:rsid w:val="009B79C4"/>
    <w:rsid w:val="00A271C5"/>
    <w:rsid w:val="00A90E8D"/>
    <w:rsid w:val="00AE0A04"/>
    <w:rsid w:val="00B4165A"/>
    <w:rsid w:val="00BE0187"/>
    <w:rsid w:val="00C60E40"/>
    <w:rsid w:val="00C97BC2"/>
    <w:rsid w:val="00F848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rsid w:val="007A2114"/>
    <w:pPr>
      <w:spacing w:before="120" w:after="160" w:line="240" w:lineRule="exact"/>
      <w:ind w:firstLine="720"/>
      <w:jc w:val="both"/>
    </w:pPr>
    <w:rPr>
      <w:rFonts w:ascii="Times New Roman" w:eastAsia="Calibri" w:hAnsi="Times New Roman" w:cs="Times New Roman"/>
      <w:sz w:val="28"/>
      <w:szCs w:val="24"/>
      <w:lang w:val="en-US"/>
    </w:rPr>
  </w:style>
  <w:style w:type="paragraph" w:styleId="ListParagraph">
    <w:name w:val="List Paragraph"/>
    <w:basedOn w:val="Normal"/>
    <w:uiPriority w:val="34"/>
    <w:qFormat/>
    <w:rsid w:val="00A271C5"/>
    <w:pPr>
      <w:ind w:left="720"/>
      <w:contextualSpacing/>
    </w:pPr>
  </w:style>
  <w:style w:type="paragraph" w:styleId="BalloonText">
    <w:name w:val="Balloon Text"/>
    <w:basedOn w:val="Normal"/>
    <w:link w:val="BalloonTextChar"/>
    <w:uiPriority w:val="99"/>
    <w:semiHidden/>
    <w:unhideWhenUsed/>
    <w:rsid w:val="0018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rsid w:val="007A2114"/>
    <w:pPr>
      <w:spacing w:before="120" w:after="160" w:line="240" w:lineRule="exact"/>
      <w:ind w:firstLine="720"/>
      <w:jc w:val="both"/>
    </w:pPr>
    <w:rPr>
      <w:rFonts w:ascii="Times New Roman" w:eastAsia="Calibri" w:hAnsi="Times New Roman" w:cs="Times New Roman"/>
      <w:sz w:val="28"/>
      <w:szCs w:val="24"/>
      <w:lang w:val="en-US"/>
    </w:rPr>
  </w:style>
  <w:style w:type="paragraph" w:styleId="ListParagraph">
    <w:name w:val="List Paragraph"/>
    <w:basedOn w:val="Normal"/>
    <w:uiPriority w:val="34"/>
    <w:qFormat/>
    <w:rsid w:val="00A271C5"/>
    <w:pPr>
      <w:ind w:left="720"/>
      <w:contextualSpacing/>
    </w:pPr>
  </w:style>
  <w:style w:type="paragraph" w:styleId="BalloonText">
    <w:name w:val="Balloon Text"/>
    <w:basedOn w:val="Normal"/>
    <w:link w:val="BalloonTextChar"/>
    <w:uiPriority w:val="99"/>
    <w:semiHidden/>
    <w:unhideWhenUsed/>
    <w:rsid w:val="00183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3777</Words>
  <Characters>2154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Irina</cp:lastModifiedBy>
  <cp:revision>25</cp:revision>
  <cp:lastPrinted>2013-05-27T08:27:00Z</cp:lastPrinted>
  <dcterms:created xsi:type="dcterms:W3CDTF">2013-05-02T13:10:00Z</dcterms:created>
  <dcterms:modified xsi:type="dcterms:W3CDTF">2013-05-27T08:29:00Z</dcterms:modified>
</cp:coreProperties>
</file>