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1F9C" w14:textId="3DDE0B8D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  <w:bookmarkStart w:id="0" w:name="_Hlk212799138"/>
      <w:r w:rsidRPr="00380C57">
        <w:rPr>
          <w:rFonts w:ascii="Times New Roman" w:hAnsi="Times New Roman"/>
          <w:szCs w:val="24"/>
        </w:rPr>
        <w:t>2025.gada 29.decembrī</w:t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 xml:space="preserve">      </w:t>
      </w:r>
      <w:r w:rsidRPr="00380C57">
        <w:rPr>
          <w:rFonts w:ascii="Times New Roman" w:hAnsi="Times New Roman"/>
          <w:szCs w:val="24"/>
        </w:rPr>
        <w:t>Saistošie noteikumi Nr.SN___/2025</w:t>
      </w:r>
    </w:p>
    <w:p w14:paraId="048C89E1" w14:textId="77777777" w:rsidR="00380C57" w:rsidRPr="00380C57" w:rsidRDefault="00380C57" w:rsidP="00380C57">
      <w:pPr>
        <w:ind w:left="4320" w:right="-766"/>
        <w:rPr>
          <w:rFonts w:ascii="Times New Roman" w:hAnsi="Times New Roman"/>
          <w:i/>
          <w:szCs w:val="24"/>
        </w:rPr>
      </w:pPr>
    </w:p>
    <w:p w14:paraId="1E9226ED" w14:textId="77777777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Apstiprināti ar Olaines novada pašvaldības domes</w:t>
      </w:r>
    </w:p>
    <w:p w14:paraId="67EC0FB0" w14:textId="3BD5AE69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 xml:space="preserve">2025.gada  </w:t>
      </w:r>
      <w:r w:rsidRPr="00380C57">
        <w:rPr>
          <w:rFonts w:ascii="Times New Roman" w:hAnsi="Times New Roman"/>
          <w:szCs w:val="24"/>
        </w:rPr>
        <w:t>29</w:t>
      </w:r>
      <w:r w:rsidRPr="00380C57">
        <w:rPr>
          <w:rFonts w:ascii="Times New Roman" w:hAnsi="Times New Roman"/>
          <w:szCs w:val="24"/>
        </w:rPr>
        <w:t>.</w:t>
      </w:r>
      <w:r w:rsidRPr="00380C57">
        <w:rPr>
          <w:rFonts w:ascii="Times New Roman" w:hAnsi="Times New Roman"/>
          <w:szCs w:val="24"/>
        </w:rPr>
        <w:t>decembra</w:t>
      </w:r>
      <w:r w:rsidRPr="00380C57">
        <w:rPr>
          <w:rFonts w:ascii="Times New Roman" w:hAnsi="Times New Roman"/>
          <w:szCs w:val="24"/>
        </w:rPr>
        <w:t xml:space="preserve"> sēdes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Pr="00380C57">
          <w:rPr>
            <w:rFonts w:ascii="Times New Roman" w:hAnsi="Times New Roman"/>
            <w:szCs w:val="24"/>
          </w:rPr>
          <w:t>lēmumu</w:t>
        </w:r>
      </w:smartTag>
    </w:p>
    <w:p w14:paraId="6622B89D" w14:textId="51C0E959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(</w:t>
      </w:r>
      <w:r w:rsidRPr="00380C57">
        <w:rPr>
          <w:rFonts w:ascii="Times New Roman" w:hAnsi="Times New Roman"/>
          <w:szCs w:val="24"/>
        </w:rPr>
        <w:t>17</w:t>
      </w:r>
      <w:r w:rsidRPr="00380C57">
        <w:rPr>
          <w:rFonts w:ascii="Times New Roman" w:hAnsi="Times New Roman"/>
          <w:szCs w:val="24"/>
        </w:rPr>
        <w:t>.prot., __.p.)</w:t>
      </w:r>
    </w:p>
    <w:p w14:paraId="5D114B88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</w:p>
    <w:p w14:paraId="7B8B7AD7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</w:p>
    <w:p w14:paraId="30F49386" w14:textId="77777777" w:rsidR="00380C57" w:rsidRPr="00380C57" w:rsidRDefault="00380C57" w:rsidP="00380C57">
      <w:pPr>
        <w:ind w:right="-766"/>
        <w:jc w:val="center"/>
        <w:rPr>
          <w:rFonts w:ascii="Times New Roman" w:hAnsi="Times New Roman"/>
          <w:b/>
          <w:bCs/>
          <w:szCs w:val="24"/>
        </w:rPr>
      </w:pPr>
      <w:r w:rsidRPr="00380C57">
        <w:rPr>
          <w:rFonts w:ascii="Times New Roman" w:hAnsi="Times New Roman"/>
          <w:b/>
          <w:bCs/>
          <w:szCs w:val="24"/>
        </w:rPr>
        <w:t xml:space="preserve">„Grozījumi Olaines novada domes 2024.gada 27.decembra saistošajos noteikumos </w:t>
      </w:r>
    </w:p>
    <w:p w14:paraId="31CC5A9D" w14:textId="77777777" w:rsidR="00380C57" w:rsidRPr="00380C57" w:rsidRDefault="00380C57" w:rsidP="00380C57">
      <w:pPr>
        <w:ind w:right="-766"/>
        <w:jc w:val="center"/>
        <w:rPr>
          <w:rFonts w:ascii="Times New Roman" w:hAnsi="Times New Roman"/>
          <w:b/>
          <w:bCs/>
          <w:szCs w:val="24"/>
        </w:rPr>
      </w:pPr>
      <w:r w:rsidRPr="00380C57">
        <w:rPr>
          <w:rFonts w:ascii="Times New Roman" w:hAnsi="Times New Roman"/>
          <w:b/>
          <w:bCs/>
          <w:szCs w:val="24"/>
        </w:rPr>
        <w:t>Nr. SN23/2024 „Par pašvaldības atbalstu sporta veicināšanai Olaines novadā””</w:t>
      </w:r>
    </w:p>
    <w:p w14:paraId="07BD1833" w14:textId="77777777" w:rsidR="00380C57" w:rsidRPr="00380C57" w:rsidRDefault="00380C57" w:rsidP="00380C57">
      <w:pPr>
        <w:ind w:right="-766"/>
        <w:jc w:val="center"/>
        <w:rPr>
          <w:rFonts w:ascii="Times New Roman" w:hAnsi="Times New Roman"/>
          <w:szCs w:val="24"/>
        </w:rPr>
      </w:pPr>
    </w:p>
    <w:p w14:paraId="7C5603DD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</w:p>
    <w:p w14:paraId="0ADF1CFD" w14:textId="77777777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 xml:space="preserve">Izdoti saskaņā ar Pašvaldību likuma </w:t>
      </w:r>
    </w:p>
    <w:p w14:paraId="2C67D860" w14:textId="77777777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44.panta otro daļu</w:t>
      </w:r>
    </w:p>
    <w:p w14:paraId="26E492C6" w14:textId="77777777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</w:p>
    <w:p w14:paraId="29DF7CBD" w14:textId="77777777" w:rsidR="00380C57" w:rsidRPr="00380C57" w:rsidRDefault="00380C57" w:rsidP="00380C57">
      <w:pPr>
        <w:ind w:right="-766"/>
        <w:jc w:val="right"/>
        <w:rPr>
          <w:rFonts w:ascii="Times New Roman" w:hAnsi="Times New Roman"/>
          <w:szCs w:val="24"/>
        </w:rPr>
      </w:pPr>
    </w:p>
    <w:p w14:paraId="7DC12B15" w14:textId="641FCE78" w:rsidR="00380C57" w:rsidRPr="00380C57" w:rsidRDefault="00380C57" w:rsidP="00380C57">
      <w:pPr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Izdarīt Olaines novada pašvaldības domes 2024.gada 27.decembra saistošos noteikumos</w:t>
      </w:r>
      <w:r w:rsidRPr="00380C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</w:t>
      </w:r>
      <w:r w:rsidRPr="00380C57">
        <w:rPr>
          <w:rFonts w:ascii="Times New Roman" w:hAnsi="Times New Roman"/>
          <w:szCs w:val="24"/>
        </w:rPr>
        <w:t>Nr. SN23/2024 „Par pašvaldības atbalstu sporta veicināšanai Olaines novadā”” (</w:t>
      </w:r>
      <w:r w:rsidRPr="00380C57">
        <w:rPr>
          <w:rFonts w:ascii="Times New Roman" w:hAnsi="Times New Roman"/>
          <w:i/>
          <w:iCs/>
          <w:szCs w:val="24"/>
        </w:rPr>
        <w:t>Publicēts: Latvijas Vēstnesis, 9, 14.01.2025., OP numurs: 2025/9.8</w:t>
      </w:r>
      <w:r w:rsidRPr="00380C57">
        <w:rPr>
          <w:rFonts w:ascii="Times New Roman" w:hAnsi="Times New Roman"/>
          <w:szCs w:val="24"/>
        </w:rPr>
        <w:t>) šādus grozījumus:</w:t>
      </w:r>
    </w:p>
    <w:p w14:paraId="769ECF51" w14:textId="77777777" w:rsidR="00380C57" w:rsidRPr="00380C57" w:rsidRDefault="00380C57" w:rsidP="00380C57">
      <w:pPr>
        <w:ind w:right="-766"/>
        <w:jc w:val="both"/>
        <w:rPr>
          <w:rFonts w:ascii="Times New Roman" w:hAnsi="Times New Roman"/>
          <w:szCs w:val="24"/>
        </w:rPr>
      </w:pPr>
    </w:p>
    <w:p w14:paraId="45845F05" w14:textId="77777777" w:rsidR="00380C57" w:rsidRPr="00380C57" w:rsidRDefault="00380C57" w:rsidP="00380C57">
      <w:pPr>
        <w:pStyle w:val="ListParagraph"/>
        <w:numPr>
          <w:ilvl w:val="0"/>
          <w:numId w:val="1"/>
        </w:numPr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Izteikt noteikumu 26. un 27.punktu šādā redakcijā:</w:t>
      </w:r>
    </w:p>
    <w:p w14:paraId="023E21C1" w14:textId="77777777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“26. Saņemt finansējumu sporta sacensībām un treniņnometnēm var sportisti, kuri pārstāv Organizāciju, kas ir Latvijas Sporta federāciju padomes atzītas sporta veida federācijas biedrs vai tās kandidāts (turpmāk – Pretendents), ja viņu dzīvesvieta kārtējā gada 1. janvārī deklarēta Olaines novada administratīvajā teritorijā. Pretendents finansiālo atbalstu var saņemt maksimālā apmērā vienu reizi kalendārajā gadā, izlietojot vairākām sacensībām.</w:t>
      </w:r>
    </w:p>
    <w:p w14:paraId="24A1A1E9" w14:textId="77777777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27. Pretendents var pieteikties uz finansējuma saņemšanu:</w:t>
      </w:r>
    </w:p>
    <w:p w14:paraId="67CD3558" w14:textId="77777777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 xml:space="preserve">27.1. sporta sacensībām, ja tās atbilst kādai no Noteikumu 2.3., 2.4., vai 2.5. apakšpunktā minētajām un ir iekļautas attiecīgā sporta veida Latvijas sporta federāciju vai attiecīgās valsts federāciju sacensību kalendārā; </w:t>
      </w:r>
    </w:p>
    <w:p w14:paraId="46846FAC" w14:textId="3E03B6BA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27.2. treniņnometnei, ja tās mērķis ir gatavošanās sacensībām, kas atbilst Noteikumu 2.4. vai 2.5. apakšpunktā minētajām un saņemts federācijas apliecinājums, vai rekomendācija, ka sportista sagatavotības līmenis atbilst kvalifikācijas prasību izpildei atlases sacensībās”;</w:t>
      </w:r>
    </w:p>
    <w:p w14:paraId="61BCF93E" w14:textId="77777777" w:rsidR="00380C57" w:rsidRPr="00380C57" w:rsidRDefault="00380C57" w:rsidP="00380C57">
      <w:pPr>
        <w:pStyle w:val="ListParagraph"/>
        <w:numPr>
          <w:ilvl w:val="0"/>
          <w:numId w:val="1"/>
        </w:numPr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Papildināt Noteikumu 28.punktu ar 28.5. apakšpunktu šādā redakcijā:</w:t>
      </w:r>
    </w:p>
    <w:p w14:paraId="29B29E9C" w14:textId="77777777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 xml:space="preserve">“28.5. minētajam finansiālajam atbalstam piemēro šādus koeficientus: </w:t>
      </w:r>
    </w:p>
    <w:p w14:paraId="447B8D67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28.5.1. sportistiem līdz U14 vecuma grupas sacensībām – 0.5;</w:t>
      </w:r>
    </w:p>
    <w:p w14:paraId="52EC943D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28.5.2. sportistiem no U15 vecuma un pieaugušajiem – 1;</w:t>
      </w:r>
    </w:p>
    <w:p w14:paraId="58FFD09C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28.5.3. sportistiem – veterāniem, meistariem un senioriem – 0.5.”</w:t>
      </w:r>
    </w:p>
    <w:p w14:paraId="68F2D273" w14:textId="77777777" w:rsidR="00380C57" w:rsidRPr="00380C57" w:rsidRDefault="00380C57" w:rsidP="00380C57">
      <w:pPr>
        <w:pStyle w:val="ListParagraph"/>
        <w:numPr>
          <w:ilvl w:val="0"/>
          <w:numId w:val="1"/>
        </w:numPr>
        <w:ind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Papildināt Noteikumu 29.punktu ar 29.5. apakšpunktu šādā redakcijā:</w:t>
      </w:r>
    </w:p>
    <w:p w14:paraId="4680878E" w14:textId="77777777" w:rsidR="00380C57" w:rsidRPr="00380C57" w:rsidRDefault="00380C57" w:rsidP="00380C57">
      <w:pPr>
        <w:pStyle w:val="ListParagraph"/>
        <w:ind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 xml:space="preserve">“29.5. minētajam finansiālajam atbalstam piemēro šādus koeficientus: </w:t>
      </w:r>
    </w:p>
    <w:p w14:paraId="4BDD1D24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29.5.1. sportistiem līdz U14 vecuma grupas sacensībām – 0.5;</w:t>
      </w:r>
    </w:p>
    <w:p w14:paraId="7CB3BDA6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29.5.2. sportistiem no U15 vecuma un pieaugušajiem – 1;</w:t>
      </w:r>
    </w:p>
    <w:p w14:paraId="167F85C3" w14:textId="77777777" w:rsidR="00380C57" w:rsidRPr="00380C57" w:rsidRDefault="00380C57" w:rsidP="00380C57">
      <w:pPr>
        <w:pStyle w:val="ListParagraph"/>
        <w:ind w:left="993" w:right="-766"/>
        <w:jc w:val="both"/>
        <w:rPr>
          <w:rFonts w:ascii="Times New Roman" w:hAnsi="Times New Roman"/>
          <w:szCs w:val="24"/>
          <w:lang w:val="es-ES"/>
        </w:rPr>
      </w:pPr>
      <w:r w:rsidRPr="00380C57">
        <w:rPr>
          <w:rFonts w:ascii="Times New Roman" w:hAnsi="Times New Roman"/>
          <w:szCs w:val="24"/>
          <w:lang w:val="es-ES"/>
        </w:rPr>
        <w:t>29.5.3. sportistiem – veterāniem, meistariem un senioriem – 0.5.”</w:t>
      </w:r>
    </w:p>
    <w:p w14:paraId="353B5871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</w:p>
    <w:p w14:paraId="40BCAF48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</w:p>
    <w:p w14:paraId="219D3AE5" w14:textId="77777777" w:rsidR="00380C57" w:rsidRPr="00380C57" w:rsidRDefault="00380C57" w:rsidP="00380C57">
      <w:pPr>
        <w:ind w:right="-766"/>
        <w:rPr>
          <w:rFonts w:ascii="Times New Roman" w:hAnsi="Times New Roman"/>
          <w:szCs w:val="24"/>
        </w:rPr>
      </w:pPr>
      <w:r w:rsidRPr="00380C57">
        <w:rPr>
          <w:rFonts w:ascii="Times New Roman" w:hAnsi="Times New Roman"/>
          <w:szCs w:val="24"/>
        </w:rPr>
        <w:t>Domes priekšsēdētājs</w:t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</w:r>
      <w:r w:rsidRPr="00380C57">
        <w:rPr>
          <w:rFonts w:ascii="Times New Roman" w:hAnsi="Times New Roman"/>
          <w:szCs w:val="24"/>
        </w:rPr>
        <w:tab/>
        <w:t>A. Bergs</w:t>
      </w:r>
    </w:p>
    <w:p w14:paraId="27E91F96" w14:textId="77777777" w:rsidR="00380C57" w:rsidRPr="00380C57" w:rsidRDefault="00380C57" w:rsidP="00380C57">
      <w:pPr>
        <w:rPr>
          <w:rFonts w:ascii="Times New Roman" w:hAnsi="Times New Roman"/>
          <w:szCs w:val="24"/>
        </w:rPr>
      </w:pPr>
    </w:p>
    <w:p w14:paraId="356D8067" w14:textId="77777777" w:rsidR="00380C57" w:rsidRPr="00380C57" w:rsidRDefault="00380C57" w:rsidP="00380C57">
      <w:pPr>
        <w:rPr>
          <w:rFonts w:ascii="Times New Roman" w:hAnsi="Times New Roman"/>
          <w:szCs w:val="24"/>
        </w:rPr>
      </w:pPr>
    </w:p>
    <w:p w14:paraId="44E3D120" w14:textId="77777777" w:rsidR="00380C57" w:rsidRDefault="00380C57" w:rsidP="00380C57">
      <w:pPr>
        <w:rPr>
          <w:rFonts w:ascii="Times New Roman" w:hAnsi="Times New Roman"/>
          <w:szCs w:val="24"/>
        </w:rPr>
      </w:pPr>
    </w:p>
    <w:p w14:paraId="72DA8D11" w14:textId="77777777" w:rsidR="00380C57" w:rsidRDefault="00380C57" w:rsidP="00380C57">
      <w:pPr>
        <w:rPr>
          <w:rFonts w:ascii="Times New Roman" w:hAnsi="Times New Roman"/>
          <w:szCs w:val="24"/>
        </w:rPr>
      </w:pPr>
    </w:p>
    <w:p w14:paraId="4562BA37" w14:textId="77777777" w:rsidR="00380C57" w:rsidRDefault="00380C57" w:rsidP="00380C57">
      <w:pPr>
        <w:rPr>
          <w:rFonts w:ascii="Times New Roman" w:hAnsi="Times New Roman"/>
          <w:szCs w:val="24"/>
        </w:rPr>
      </w:pPr>
    </w:p>
    <w:p w14:paraId="778E9F54" w14:textId="77777777" w:rsidR="00380C57" w:rsidRDefault="00380C57" w:rsidP="00BA2CA9">
      <w:pPr>
        <w:shd w:val="clear" w:color="auto" w:fill="FFFFFF"/>
        <w:ind w:right="-625"/>
        <w:jc w:val="center"/>
        <w:rPr>
          <w:rFonts w:ascii="Times New Roman" w:hAnsi="Times New Roman"/>
          <w:b/>
          <w:bCs/>
          <w:kern w:val="2"/>
          <w:szCs w:val="24"/>
        </w:rPr>
      </w:pPr>
      <w:r w:rsidRPr="00231CEC">
        <w:rPr>
          <w:rFonts w:ascii="Times New Roman" w:hAnsi="Times New Roman"/>
          <w:b/>
          <w:bCs/>
          <w:kern w:val="2"/>
          <w:szCs w:val="24"/>
        </w:rPr>
        <w:t>Paskaidrojuma raksts</w:t>
      </w:r>
    </w:p>
    <w:p w14:paraId="35834111" w14:textId="450DBFC5" w:rsidR="00380C57" w:rsidRPr="00BE4B1E" w:rsidRDefault="00380C57" w:rsidP="00BA2CA9">
      <w:pPr>
        <w:shd w:val="clear" w:color="auto" w:fill="FFFFFF"/>
        <w:ind w:right="-625"/>
        <w:jc w:val="center"/>
        <w:rPr>
          <w:rFonts w:ascii="Times New Roman" w:hAnsi="Times New Roman"/>
          <w:b/>
          <w:bCs/>
          <w:szCs w:val="24"/>
        </w:rPr>
      </w:pPr>
      <w:r w:rsidRPr="00BE4B1E">
        <w:rPr>
          <w:rFonts w:ascii="Times New Roman" w:hAnsi="Times New Roman"/>
          <w:b/>
          <w:bCs/>
        </w:rPr>
        <w:t xml:space="preserve">Olaines novada pašvaldības domes 2025.gada </w:t>
      </w:r>
      <w:r w:rsidR="00BA2CA9">
        <w:rPr>
          <w:rFonts w:ascii="Times New Roman" w:hAnsi="Times New Roman"/>
          <w:b/>
          <w:bCs/>
        </w:rPr>
        <w:t>29</w:t>
      </w:r>
      <w:r w:rsidRPr="00BE4B1E">
        <w:rPr>
          <w:rFonts w:ascii="Times New Roman" w:hAnsi="Times New Roman"/>
          <w:b/>
          <w:bCs/>
        </w:rPr>
        <w:t>.</w:t>
      </w:r>
      <w:r w:rsidR="00BA2CA9">
        <w:rPr>
          <w:rFonts w:ascii="Times New Roman" w:hAnsi="Times New Roman"/>
          <w:b/>
          <w:bCs/>
        </w:rPr>
        <w:t>decembra</w:t>
      </w:r>
      <w:r w:rsidRPr="00BE4B1E">
        <w:rPr>
          <w:rFonts w:ascii="Times New Roman" w:hAnsi="Times New Roman"/>
          <w:b/>
          <w:bCs/>
        </w:rPr>
        <w:t xml:space="preserve"> saistošajiem noteikumiem Nr.SN___/2025 “Grozījums Olaines novada pašvaldības domes 2024.gada 27.decembra saistošajos noteikumos Nr.SN23/2024 “Par pašvaldības atbalstu sporta veicināšanai Olaines novadā””</w:t>
      </w:r>
    </w:p>
    <w:p w14:paraId="07640438" w14:textId="77777777" w:rsidR="00380C57" w:rsidRPr="00231CEC" w:rsidRDefault="00380C57" w:rsidP="00380C57">
      <w:pPr>
        <w:shd w:val="clear" w:color="auto" w:fill="FFFFFF"/>
        <w:ind w:right="425"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54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9"/>
        <w:gridCol w:w="6845"/>
      </w:tblGrid>
      <w:tr w:rsidR="00380C57" w14:paraId="7E8D6DEB" w14:textId="77777777" w:rsidTr="00BA2CA9">
        <w:trPr>
          <w:trHeight w:val="570"/>
        </w:trPr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02800F" w14:textId="77777777" w:rsidR="00380C57" w:rsidRPr="00231CEC" w:rsidRDefault="00380C57" w:rsidP="00CD0B31">
            <w:pPr>
              <w:ind w:right="426"/>
              <w:jc w:val="center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Paskaidrojuma raksta sadaļa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F77D44" w14:textId="77777777" w:rsidR="00380C57" w:rsidRPr="00231CEC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Norādāmā informācija </w:t>
            </w:r>
          </w:p>
        </w:tc>
      </w:tr>
      <w:tr w:rsidR="00380C57" w14:paraId="59B84078" w14:textId="77777777" w:rsidTr="00BA2CA9"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BED6DF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1. Mērķis un nepieciešamības pamatojums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45DE49" w14:textId="77777777" w:rsidR="00380C57" w:rsidRDefault="00380C57" w:rsidP="00CD0B31">
            <w:pPr>
              <w:ind w:right="109"/>
              <w:jc w:val="both"/>
              <w:rPr>
                <w:rFonts w:ascii="Times New Roman" w:hAnsi="Times New Roman"/>
              </w:rPr>
            </w:pPr>
            <w:r w:rsidRPr="00AB6CA3">
              <w:rPr>
                <w:rFonts w:ascii="Times New Roman" w:hAnsi="Times New Roman"/>
              </w:rPr>
              <w:t xml:space="preserve">Pamatojoties uz Pašvaldību likuma 44.panta otro daļu, sagatavots saistošo noteikumu projekts “Grozījums Olaines novada </w:t>
            </w:r>
            <w:r>
              <w:rPr>
                <w:rFonts w:ascii="Times New Roman" w:hAnsi="Times New Roman"/>
              </w:rPr>
              <w:t xml:space="preserve">pašvaldības </w:t>
            </w:r>
            <w:r w:rsidRPr="00AB6CA3">
              <w:rPr>
                <w:rFonts w:ascii="Times New Roman" w:hAnsi="Times New Roman"/>
              </w:rPr>
              <w:t>domes 2024.gada 27.decembra saistoš</w:t>
            </w:r>
            <w:r>
              <w:rPr>
                <w:rFonts w:ascii="Times New Roman" w:hAnsi="Times New Roman"/>
              </w:rPr>
              <w:t>ajos</w:t>
            </w:r>
            <w:r w:rsidRPr="00AB6CA3">
              <w:rPr>
                <w:rFonts w:ascii="Times New Roman" w:hAnsi="Times New Roman"/>
              </w:rPr>
              <w:t xml:space="preserve"> noteikum</w:t>
            </w:r>
            <w:r>
              <w:rPr>
                <w:rFonts w:ascii="Times New Roman" w:hAnsi="Times New Roman"/>
              </w:rPr>
              <w:t>os</w:t>
            </w:r>
            <w:r w:rsidRPr="00AB6CA3">
              <w:rPr>
                <w:rFonts w:ascii="Times New Roman" w:hAnsi="Times New Roman"/>
              </w:rPr>
              <w:t xml:space="preserve"> Nr.SN23/2024 </w:t>
            </w:r>
            <w:r>
              <w:rPr>
                <w:rFonts w:ascii="Times New Roman" w:hAnsi="Times New Roman"/>
              </w:rPr>
              <w:t>“</w:t>
            </w:r>
            <w:r w:rsidRPr="00AB6CA3">
              <w:rPr>
                <w:rFonts w:ascii="Times New Roman" w:hAnsi="Times New Roman"/>
              </w:rPr>
              <w:t>Par pašvaldības atbalstu sporta veicināšanai Olaines novadā”</w:t>
            </w:r>
            <w:r>
              <w:rPr>
                <w:rFonts w:ascii="Times New Roman" w:hAnsi="Times New Roman"/>
              </w:rPr>
              <w:t>”</w:t>
            </w:r>
          </w:p>
          <w:p w14:paraId="196D75FB" w14:textId="77777777" w:rsidR="00380C57" w:rsidRPr="00BE58F2" w:rsidRDefault="00380C57" w:rsidP="00380C57">
            <w:pPr>
              <w:pStyle w:val="ListParagraph"/>
              <w:numPr>
                <w:ilvl w:val="0"/>
                <w:numId w:val="3"/>
              </w:numPr>
              <w:ind w:right="109"/>
              <w:jc w:val="both"/>
            </w:pPr>
            <w:r w:rsidRPr="00BE58F2">
              <w:t>Izteikt noteikumu 26. un 27. punktu šādā redakcijā:</w:t>
            </w:r>
          </w:p>
          <w:p w14:paraId="1753E166" w14:textId="77777777" w:rsidR="00380C57" w:rsidRPr="00DF2131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DF2131">
              <w:rPr>
                <w:rFonts w:ascii="Times New Roman" w:hAnsi="Times New Roman"/>
              </w:rPr>
              <w:t>“26. Saņemt finansējumu sporta sacensībām un treniņnometnēm var sportisti, kuri pārstāv Organizāciju, kas ir Latvijas Sporta federāciju padomes atzītas sporta veida federācijas biedrs vai tās kandidāts   (turpmāk – Pretendents), ja viņu dzīvesvieta kārtējā gada 1. janvārī deklarēta Olaines novada administratīvajā teritorijā. Pretendents finansiālo atbalstu var saņemt maksimālā apmērā vienu reizi kalendārajā gadā, izlietojot vairākām sacensībām.</w:t>
            </w:r>
          </w:p>
          <w:p w14:paraId="07FAB6E9" w14:textId="77777777" w:rsidR="00380C57" w:rsidRPr="00DF2131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DF2131">
              <w:rPr>
                <w:rFonts w:ascii="Times New Roman" w:hAnsi="Times New Roman"/>
              </w:rPr>
              <w:t>27. Pretendents var pieteikties uz finansējuma saņemšanu:</w:t>
            </w:r>
          </w:p>
          <w:p w14:paraId="3847CC9B" w14:textId="77777777" w:rsidR="00380C57" w:rsidRPr="00DF2131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DF2131">
              <w:rPr>
                <w:rFonts w:ascii="Times New Roman" w:hAnsi="Times New Roman"/>
              </w:rPr>
              <w:t xml:space="preserve">27.1. sporta sacensībām, ja tās atbilst kādai no Noteikumu 2.3., 2.4., vai 2.5. apakšpunktā minētajām un ir iekļautas attiecīgā sporta veida Latvijas sporta federāciju vai attiecīgās valsts federāciju sacensību kalendārā; </w:t>
            </w:r>
          </w:p>
          <w:p w14:paraId="3581267C" w14:textId="578859F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DF2131">
              <w:rPr>
                <w:rFonts w:ascii="Times New Roman" w:hAnsi="Times New Roman"/>
              </w:rPr>
              <w:t xml:space="preserve">27.2. treniņnometnei, ja tās mērķis ir gatavošanās sacensībām, kas atbilst Noteikumu 2.4. </w:t>
            </w:r>
            <w:r w:rsidRPr="00BA2CA9">
              <w:rPr>
                <w:rFonts w:ascii="Times New Roman" w:hAnsi="Times New Roman"/>
              </w:rPr>
              <w:t>vai</w:t>
            </w:r>
            <w:r w:rsidRPr="00DF2131">
              <w:rPr>
                <w:rFonts w:ascii="Times New Roman" w:hAnsi="Times New Roman"/>
              </w:rPr>
              <w:t xml:space="preserve"> 2.5. apakšpunktā minētajām un saņemts federācijas apliecinājums</w:t>
            </w:r>
            <w:r w:rsidRPr="00BA2CA9">
              <w:rPr>
                <w:rFonts w:ascii="Times New Roman" w:hAnsi="Times New Roman"/>
              </w:rPr>
              <w:t>, vai rekomendācija, ka sportista sagatavotības līmenis atbilst kvalifikācijas prasību izpildei atlases sacensībās”;</w:t>
            </w:r>
          </w:p>
          <w:p w14:paraId="36AE2429" w14:textId="77777777" w:rsidR="00380C57" w:rsidRPr="00BA2CA9" w:rsidRDefault="00380C57" w:rsidP="00380C57">
            <w:pPr>
              <w:pStyle w:val="ListParagraph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Papildināt Noteikumu 28. punktu ar 28.5. apakšpunktu šādā redakcijā:</w:t>
            </w:r>
          </w:p>
          <w:p w14:paraId="51AE0CD0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 xml:space="preserve">“28.5. minētajam finansiālajam atbalstam piemēro šādus koeficientus: </w:t>
            </w:r>
          </w:p>
          <w:p w14:paraId="1D2E7230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28.5.1.sportistiem līdz U14 vecuma grupas sacensībām – 0.5;</w:t>
            </w:r>
          </w:p>
          <w:p w14:paraId="19DF6120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28.5.2.sportistiem no U15 vecuma un pieaugušajiem – 1;</w:t>
            </w:r>
          </w:p>
          <w:p w14:paraId="299DB941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28.5.3. sportistiem – veterāniem, meistariem un senioriem – 0.5. ”</w:t>
            </w:r>
          </w:p>
          <w:p w14:paraId="22D8C809" w14:textId="77777777" w:rsidR="00380C57" w:rsidRPr="00BA2CA9" w:rsidRDefault="00380C57" w:rsidP="00380C57">
            <w:pPr>
              <w:pStyle w:val="ListParagraph"/>
              <w:numPr>
                <w:ilvl w:val="0"/>
                <w:numId w:val="3"/>
              </w:num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Papildināt Noteikumus 29. punktu ar 29.5. apakšpunktu šādā redakcijā:</w:t>
            </w:r>
          </w:p>
          <w:p w14:paraId="717EB771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 xml:space="preserve">“29.5. minētajam finansiālajam atbalstam piemēro šādus koeficientus: </w:t>
            </w:r>
          </w:p>
          <w:p w14:paraId="25505068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29.5.1.sportistiem līdz U14 vecuma grupas sacensībām – 0.5;</w:t>
            </w:r>
          </w:p>
          <w:p w14:paraId="15295E0E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29.5.2. sportistiem no U15 vecuma un pieaugušajiem – 1;</w:t>
            </w:r>
          </w:p>
          <w:p w14:paraId="6F0A025E" w14:textId="77777777" w:rsidR="00380C57" w:rsidRPr="00BA2CA9" w:rsidRDefault="00380C57" w:rsidP="00CD0B31">
            <w:pPr>
              <w:ind w:right="-2"/>
              <w:jc w:val="both"/>
              <w:rPr>
                <w:rFonts w:ascii="Times New Roman" w:hAnsi="Times New Roman"/>
              </w:rPr>
            </w:pPr>
            <w:r w:rsidRPr="00BA2CA9">
              <w:rPr>
                <w:rFonts w:ascii="Times New Roman" w:hAnsi="Times New Roman"/>
              </w:rPr>
              <w:t>29.5.3. sportistiem – veterāniem,  meistariem un senioriem – 0.5.”</w:t>
            </w:r>
          </w:p>
          <w:p w14:paraId="6E09D4B2" w14:textId="77777777" w:rsidR="00380C57" w:rsidRPr="00BA2CA9" w:rsidRDefault="00380C57" w:rsidP="00CD0B31">
            <w:pPr>
              <w:ind w:right="109"/>
              <w:jc w:val="both"/>
              <w:rPr>
                <w:rFonts w:ascii="Times New Roman" w:hAnsi="Times New Roman"/>
              </w:rPr>
            </w:pPr>
          </w:p>
          <w:p w14:paraId="0A3196F2" w14:textId="77777777" w:rsidR="00380C57" w:rsidRPr="00BA2CA9" w:rsidRDefault="00380C57" w:rsidP="00CD0B31">
            <w:pPr>
              <w:ind w:right="109"/>
              <w:jc w:val="both"/>
              <w:rPr>
                <w:rFonts w:ascii="Times New Roman" w:hAnsi="Times New Roman"/>
                <w:szCs w:val="24"/>
              </w:rPr>
            </w:pPr>
            <w:r w:rsidRPr="00BA2CA9">
              <w:rPr>
                <w:rFonts w:ascii="Times New Roman" w:hAnsi="Times New Roman"/>
                <w:szCs w:val="24"/>
              </w:rPr>
              <w:t>Noteikumu grozījumu mērķis ir:</w:t>
            </w:r>
          </w:p>
          <w:p w14:paraId="2B787325" w14:textId="77777777" w:rsidR="00380C57" w:rsidRDefault="00380C57" w:rsidP="00CD0B31">
            <w:pPr>
              <w:ind w:right="109"/>
              <w:jc w:val="both"/>
              <w:rPr>
                <w:rFonts w:ascii="Times New Roman" w:hAnsi="Times New Roman"/>
                <w:szCs w:val="24"/>
              </w:rPr>
            </w:pPr>
            <w:r w:rsidRPr="00BA2CA9">
              <w:rPr>
                <w:rFonts w:ascii="Times New Roman" w:hAnsi="Times New Roman"/>
                <w:szCs w:val="24"/>
              </w:rPr>
              <w:t>1. Precizēt un raksturot sportista</w:t>
            </w:r>
            <w:r>
              <w:rPr>
                <w:rFonts w:ascii="Times New Roman" w:hAnsi="Times New Roman"/>
                <w:szCs w:val="24"/>
              </w:rPr>
              <w:t xml:space="preserve"> pārstāvošo organizāciju, kas var pretendēt uz sacensībām, kā arī precizēt finansiālā atbalsta saņemšanas apmēru un izlietošanas reizes.</w:t>
            </w:r>
          </w:p>
          <w:p w14:paraId="46E612E1" w14:textId="77777777" w:rsidR="00380C57" w:rsidRDefault="00380C57" w:rsidP="00CD0B31">
            <w:pPr>
              <w:ind w:right="1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Precizēt sacensību un treniņnometnes, kādām Pretendents var pietiekties finansiālajam atbalstam.</w:t>
            </w:r>
          </w:p>
          <w:p w14:paraId="036F23AC" w14:textId="77777777" w:rsidR="00380C57" w:rsidRPr="004B2233" w:rsidRDefault="00380C57" w:rsidP="00CD0B31">
            <w:pPr>
              <w:ind w:right="1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Diferenciēt finansiālā atbalsta apmēru atbilstoši sportistu sasniegumu līmenim.</w:t>
            </w:r>
          </w:p>
        </w:tc>
      </w:tr>
      <w:tr w:rsidR="00380C57" w14:paraId="0A7D3A62" w14:textId="77777777" w:rsidTr="00BA2CA9">
        <w:trPr>
          <w:trHeight w:val="1246"/>
        </w:trPr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8E2446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2. Fiskālā ietekme uz pašvaldības budžetu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123B64" w14:textId="77777777" w:rsidR="00380C57" w:rsidRPr="00231CEC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Pašvaldības finansiālā atbalsta kopējo summu Dome nosaka kārtējā gada budžetā. Palielināta ietekme uz budžetu nav plānota.</w:t>
            </w:r>
          </w:p>
        </w:tc>
      </w:tr>
      <w:tr w:rsidR="00380C57" w14:paraId="4848565D" w14:textId="77777777" w:rsidTr="00BA2CA9">
        <w:trPr>
          <w:trHeight w:val="2948"/>
        </w:trPr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3566EC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BA0A60" w14:textId="77777777" w:rsidR="00380C57" w:rsidRPr="004B2233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 w:rsidRPr="004B2233">
              <w:rPr>
                <w:rFonts w:ascii="Times New Roman" w:hAnsi="Times New Roman"/>
                <w:szCs w:val="24"/>
              </w:rPr>
              <w:t>Ar saistoš</w:t>
            </w:r>
            <w:r>
              <w:rPr>
                <w:rFonts w:ascii="Times New Roman" w:hAnsi="Times New Roman"/>
                <w:szCs w:val="24"/>
              </w:rPr>
              <w:t>aj</w:t>
            </w:r>
            <w:r w:rsidRPr="004B2233">
              <w:rPr>
                <w:rFonts w:ascii="Times New Roman" w:hAnsi="Times New Roman"/>
                <w:szCs w:val="24"/>
              </w:rPr>
              <w:t>iem noteikumiem:</w:t>
            </w:r>
          </w:p>
          <w:p w14:paraId="142D103F" w14:textId="77777777" w:rsidR="00380C57" w:rsidRPr="00BA2CA9" w:rsidRDefault="00380C57" w:rsidP="00380C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s-ES"/>
              </w:rPr>
            </w:pPr>
            <w:r w:rsidRPr="00BA2CA9">
              <w:rPr>
                <w:rFonts w:ascii="Times New Roman" w:hAnsi="Times New Roman"/>
                <w:lang w:val="es-ES"/>
              </w:rPr>
              <w:t>ietekme uz vidi – nav paredzēta,</w:t>
            </w:r>
          </w:p>
          <w:p w14:paraId="1FD4FA36" w14:textId="77777777" w:rsidR="00380C57" w:rsidRPr="00BA2CA9" w:rsidRDefault="00380C57" w:rsidP="00380C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s-ES"/>
              </w:rPr>
            </w:pPr>
            <w:r w:rsidRPr="00BA2CA9">
              <w:rPr>
                <w:rFonts w:ascii="Times New Roman" w:hAnsi="Times New Roman"/>
                <w:lang w:val="es-ES"/>
              </w:rPr>
              <w:t>ietekme uz uzņēmējdarbības vidi pašvaldības teritorijā – veicinās uzņēmējdarbības aktivitātes, jaunu sporta klubu veidošanos un esošo sporta klubu attīstību un izaugsmi.</w:t>
            </w:r>
          </w:p>
          <w:p w14:paraId="488F9B5F" w14:textId="77777777" w:rsidR="00380C57" w:rsidRPr="004B2233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0C57" w14:paraId="20179C1D" w14:textId="77777777" w:rsidTr="00BA2CA9"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26193C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4. Ietekme uz administratīvajām procedūrām un to izmaksām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A2D868" w14:textId="77777777" w:rsidR="00380C57" w:rsidRPr="00063345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Nav.</w:t>
            </w:r>
          </w:p>
          <w:p w14:paraId="7C54DDCD" w14:textId="77777777" w:rsidR="00380C57" w:rsidRPr="00231CEC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</w:p>
          <w:p w14:paraId="5ECE0160" w14:textId="77777777" w:rsidR="00380C57" w:rsidRPr="00231CEC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0C57" w14:paraId="16193AAA" w14:textId="77777777" w:rsidTr="00BA2CA9">
        <w:trPr>
          <w:trHeight w:val="1221"/>
        </w:trPr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CCCF04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5. Ietekme uz pašvaldības funkcijām un cilvēkresursiem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2E9510" w14:textId="77777777" w:rsidR="00380C57" w:rsidRPr="007248AB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Saistošo noteikumu izpildes nodrošināšanai nav plānots palielināt darba vietu skaitu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0C57" w14:paraId="0FD7EF48" w14:textId="77777777" w:rsidTr="00BA2CA9"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EC59E8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6. Informācija par izpildes nodrošināšanu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4212CB" w14:textId="77777777" w:rsidR="00380C57" w:rsidRPr="00231CEC" w:rsidRDefault="00380C57" w:rsidP="00CD0B31">
            <w:pPr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Saistošo noteikumu izpildē iesaistītas: Olaines novada pašvaldības iestāde “Olaines Sporta centrs”, Olaines novada pašvaldības Sporta komisija.</w:t>
            </w:r>
          </w:p>
        </w:tc>
      </w:tr>
      <w:tr w:rsidR="00380C57" w14:paraId="258DFF3F" w14:textId="77777777" w:rsidTr="00BA2CA9"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036875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CB3F66" w14:textId="77777777" w:rsidR="00380C57" w:rsidRPr="00231CEC" w:rsidRDefault="00380C57" w:rsidP="00CD0B31">
            <w:pPr>
              <w:ind w:right="106"/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Saistošo noteikum</w:t>
            </w:r>
            <w:r>
              <w:rPr>
                <w:rFonts w:ascii="Times New Roman" w:hAnsi="Times New Roman"/>
                <w:szCs w:val="24"/>
              </w:rPr>
              <w:t>u grozījums</w:t>
            </w:r>
            <w:r w:rsidRPr="00231CEC">
              <w:rPr>
                <w:rFonts w:ascii="Times New Roman" w:hAnsi="Times New Roman"/>
                <w:szCs w:val="24"/>
              </w:rPr>
              <w:t xml:space="preserve"> ir piemērot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231CEC">
              <w:rPr>
                <w:rFonts w:ascii="Times New Roman" w:hAnsi="Times New Roman"/>
                <w:szCs w:val="24"/>
              </w:rPr>
              <w:t xml:space="preserve"> iecerētā mērķa sasniegšanas nodrošināšanai.</w:t>
            </w:r>
          </w:p>
          <w:p w14:paraId="534BFF4D" w14:textId="77777777" w:rsidR="00380C57" w:rsidRPr="00231CEC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Saistoš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231CEC">
              <w:rPr>
                <w:rFonts w:ascii="Times New Roman" w:hAnsi="Times New Roman"/>
                <w:szCs w:val="24"/>
              </w:rPr>
              <w:t xml:space="preserve"> noteikum</w:t>
            </w:r>
            <w:r>
              <w:rPr>
                <w:rFonts w:ascii="Times New Roman" w:hAnsi="Times New Roman"/>
                <w:szCs w:val="24"/>
              </w:rPr>
              <w:t>u</w:t>
            </w:r>
            <w:r w:rsidRPr="00231CEC">
              <w:rPr>
                <w:rFonts w:ascii="Times New Roman" w:hAnsi="Times New Roman"/>
                <w:szCs w:val="24"/>
              </w:rPr>
              <w:t xml:space="preserve"> izdošanas pamatojums ir atbilstošs augstākstāvošiem normatīvajiem aktiem.</w:t>
            </w:r>
          </w:p>
        </w:tc>
      </w:tr>
      <w:tr w:rsidR="00380C57" w14:paraId="1290963F" w14:textId="77777777" w:rsidTr="00BA2CA9">
        <w:tc>
          <w:tcPr>
            <w:tcW w:w="12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85D84C" w14:textId="77777777" w:rsidR="00380C57" w:rsidRPr="00231CEC" w:rsidRDefault="00380C57" w:rsidP="00CD0B31">
            <w:pPr>
              <w:ind w:right="426"/>
              <w:rPr>
                <w:rFonts w:ascii="Times New Roman" w:hAnsi="Times New Roman"/>
                <w:szCs w:val="24"/>
              </w:rPr>
            </w:pPr>
            <w:r w:rsidRPr="00231CEC">
              <w:rPr>
                <w:rFonts w:ascii="Times New Roman" w:hAnsi="Times New Roman"/>
                <w:szCs w:val="24"/>
              </w:rPr>
              <w:t>8. Izstrādes gaitā veiktās konsultācijas ar privātpersonām un institūcijām </w:t>
            </w:r>
          </w:p>
        </w:tc>
        <w:tc>
          <w:tcPr>
            <w:tcW w:w="3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C7AF3B" w14:textId="77777777" w:rsidR="00380C57" w:rsidRPr="001B31FA" w:rsidRDefault="00380C57" w:rsidP="00CD0B31">
            <w:pPr>
              <w:ind w:right="120"/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EF1237">
              <w:rPr>
                <w:rFonts w:ascii="Times New Roman" w:hAnsi="Times New Roman"/>
                <w:szCs w:val="24"/>
                <w:lang w:eastAsia="lv-LV"/>
              </w:rPr>
              <w:t xml:space="preserve">Saistošo noteikumu projekts izskatīts Finanšu komitejā. Sabiedrības viedokļa apzināšanai saistošo noteikumu projekts ievietots pašvaldības </w:t>
            </w:r>
            <w:r>
              <w:rPr>
                <w:rFonts w:ascii="Times New Roman" w:hAnsi="Times New Roman"/>
                <w:szCs w:val="24"/>
                <w:lang w:eastAsia="lv-LV"/>
              </w:rPr>
              <w:t xml:space="preserve">oficiālajā </w:t>
            </w:r>
            <w:r w:rsidRPr="00EF1237">
              <w:rPr>
                <w:rFonts w:ascii="Times New Roman" w:hAnsi="Times New Roman"/>
                <w:szCs w:val="24"/>
                <w:lang w:eastAsia="lv-LV"/>
              </w:rPr>
              <w:t xml:space="preserve">tīmekļvietnē www.olaine.lv, pašvaldības sociālo kontu tīmekļvietnē www.facebook.com  </w:t>
            </w:r>
            <w:r w:rsidRPr="001B31FA">
              <w:rPr>
                <w:rFonts w:ascii="Times New Roman" w:hAnsi="Times New Roman"/>
                <w:szCs w:val="24"/>
                <w:lang w:eastAsia="lv-LV"/>
              </w:rPr>
              <w:t>no 202</w:t>
            </w:r>
            <w:r>
              <w:rPr>
                <w:rFonts w:ascii="Times New Roman" w:hAnsi="Times New Roman"/>
                <w:szCs w:val="24"/>
                <w:lang w:eastAsia="lv-LV"/>
              </w:rPr>
              <w:t>5</w:t>
            </w:r>
            <w:r w:rsidRPr="001B31FA">
              <w:rPr>
                <w:rFonts w:ascii="Times New Roman" w:hAnsi="Times New Roman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szCs w:val="24"/>
                <w:lang w:eastAsia="lv-LV"/>
              </w:rPr>
              <w:t>13.novembra</w:t>
            </w:r>
            <w:r w:rsidRPr="001B31FA">
              <w:rPr>
                <w:rFonts w:ascii="Times New Roman" w:hAnsi="Times New Roman"/>
                <w:szCs w:val="24"/>
                <w:lang w:eastAsia="lv-LV"/>
              </w:rPr>
              <w:t xml:space="preserve"> līdz </w:t>
            </w:r>
            <w:r>
              <w:rPr>
                <w:rFonts w:ascii="Times New Roman" w:hAnsi="Times New Roman"/>
                <w:szCs w:val="24"/>
                <w:lang w:eastAsia="lv-LV"/>
              </w:rPr>
              <w:t>2025.gada 27.novembrim</w:t>
            </w:r>
            <w:r w:rsidRPr="001B31FA">
              <w:rPr>
                <w:rFonts w:ascii="Times New Roman" w:hAnsi="Times New Roman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szCs w:val="24"/>
                <w:lang w:eastAsia="lv-LV"/>
              </w:rPr>
              <w:t xml:space="preserve"> Sabiedrības viedokļi nav saņemti. </w:t>
            </w:r>
          </w:p>
          <w:p w14:paraId="179A3930" w14:textId="77777777" w:rsidR="00380C57" w:rsidRPr="00B82D13" w:rsidRDefault="00380C57" w:rsidP="00CD0B31">
            <w:pPr>
              <w:ind w:right="426"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</w:tr>
    </w:tbl>
    <w:p w14:paraId="4FE09E04" w14:textId="77777777" w:rsidR="00380C57" w:rsidRPr="00231CEC" w:rsidRDefault="00380C57" w:rsidP="00380C57">
      <w:pPr>
        <w:shd w:val="clear" w:color="auto" w:fill="FFFFFF"/>
        <w:ind w:right="426"/>
        <w:rPr>
          <w:rFonts w:ascii="Times New Roman" w:hAnsi="Times New Roman"/>
          <w:szCs w:val="24"/>
        </w:rPr>
      </w:pPr>
    </w:p>
    <w:p w14:paraId="771AE2F4" w14:textId="77777777" w:rsidR="00380C57" w:rsidRPr="00231CEC" w:rsidRDefault="00380C57" w:rsidP="00380C57">
      <w:pPr>
        <w:shd w:val="clear" w:color="auto" w:fill="FFFFFF"/>
        <w:ind w:right="426"/>
        <w:rPr>
          <w:rFonts w:ascii="Times New Roman" w:hAnsi="Times New Roman"/>
          <w:szCs w:val="24"/>
        </w:rPr>
      </w:pPr>
    </w:p>
    <w:p w14:paraId="520BDBDD" w14:textId="5F084005" w:rsidR="00380C57" w:rsidRDefault="00380C57" w:rsidP="00BA2CA9">
      <w:pPr>
        <w:shd w:val="clear" w:color="auto" w:fill="FFFFFF"/>
        <w:ind w:right="426"/>
        <w:rPr>
          <w:rFonts w:ascii="Times New Roman" w:hAnsi="Times New Roman"/>
          <w:szCs w:val="24"/>
        </w:rPr>
      </w:pPr>
      <w:r w:rsidRPr="00231CEC">
        <w:rPr>
          <w:rFonts w:ascii="Times New Roman" w:hAnsi="Times New Roman"/>
          <w:szCs w:val="24"/>
        </w:rPr>
        <w:t>Domes priekšsēdētājs </w:t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</w:r>
      <w:r w:rsidRPr="00231CEC">
        <w:rPr>
          <w:rFonts w:ascii="Times New Roman" w:hAnsi="Times New Roman"/>
          <w:szCs w:val="24"/>
        </w:rPr>
        <w:tab/>
        <w:t xml:space="preserve">        A. Bergs</w:t>
      </w:r>
      <w:bookmarkEnd w:id="0"/>
    </w:p>
    <w:p w14:paraId="2BFE8B8C" w14:textId="77777777" w:rsidR="00380C57" w:rsidRPr="00CF6686" w:rsidRDefault="00380C57" w:rsidP="00380C57">
      <w:pPr>
        <w:rPr>
          <w:rFonts w:ascii="Times New Roman" w:hAnsi="Times New Roman"/>
          <w:szCs w:val="24"/>
        </w:rPr>
      </w:pPr>
    </w:p>
    <w:p w14:paraId="1C4D3E6C" w14:textId="77777777" w:rsidR="00B577CB" w:rsidRDefault="00B577CB"/>
    <w:sectPr w:rsidR="00B57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3A14"/>
    <w:multiLevelType w:val="hybridMultilevel"/>
    <w:tmpl w:val="EB803906"/>
    <w:lvl w:ilvl="0" w:tplc="789EC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6F164" w:tentative="1">
      <w:start w:val="1"/>
      <w:numFmt w:val="lowerLetter"/>
      <w:lvlText w:val="%2."/>
      <w:lvlJc w:val="left"/>
      <w:pPr>
        <w:ind w:left="1440" w:hanging="360"/>
      </w:pPr>
    </w:lvl>
    <w:lvl w:ilvl="2" w:tplc="3B3266AC" w:tentative="1">
      <w:start w:val="1"/>
      <w:numFmt w:val="lowerRoman"/>
      <w:lvlText w:val="%3."/>
      <w:lvlJc w:val="right"/>
      <w:pPr>
        <w:ind w:left="2160" w:hanging="180"/>
      </w:pPr>
    </w:lvl>
    <w:lvl w:ilvl="3" w:tplc="613219B0" w:tentative="1">
      <w:start w:val="1"/>
      <w:numFmt w:val="decimal"/>
      <w:lvlText w:val="%4."/>
      <w:lvlJc w:val="left"/>
      <w:pPr>
        <w:ind w:left="2880" w:hanging="360"/>
      </w:pPr>
    </w:lvl>
    <w:lvl w:ilvl="4" w:tplc="E04EC250" w:tentative="1">
      <w:start w:val="1"/>
      <w:numFmt w:val="lowerLetter"/>
      <w:lvlText w:val="%5."/>
      <w:lvlJc w:val="left"/>
      <w:pPr>
        <w:ind w:left="3600" w:hanging="360"/>
      </w:pPr>
    </w:lvl>
    <w:lvl w:ilvl="5" w:tplc="02B660F2" w:tentative="1">
      <w:start w:val="1"/>
      <w:numFmt w:val="lowerRoman"/>
      <w:lvlText w:val="%6."/>
      <w:lvlJc w:val="right"/>
      <w:pPr>
        <w:ind w:left="4320" w:hanging="180"/>
      </w:pPr>
    </w:lvl>
    <w:lvl w:ilvl="6" w:tplc="93C6A6A2" w:tentative="1">
      <w:start w:val="1"/>
      <w:numFmt w:val="decimal"/>
      <w:lvlText w:val="%7."/>
      <w:lvlJc w:val="left"/>
      <w:pPr>
        <w:ind w:left="5040" w:hanging="360"/>
      </w:pPr>
    </w:lvl>
    <w:lvl w:ilvl="7" w:tplc="05EEDD90" w:tentative="1">
      <w:start w:val="1"/>
      <w:numFmt w:val="lowerLetter"/>
      <w:lvlText w:val="%8."/>
      <w:lvlJc w:val="left"/>
      <w:pPr>
        <w:ind w:left="5760" w:hanging="360"/>
      </w:pPr>
    </w:lvl>
    <w:lvl w:ilvl="8" w:tplc="5D02A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5B4"/>
    <w:multiLevelType w:val="hybridMultilevel"/>
    <w:tmpl w:val="18A020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67EA4"/>
    <w:multiLevelType w:val="hybridMultilevel"/>
    <w:tmpl w:val="B53080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0135">
    <w:abstractNumId w:val="1"/>
  </w:num>
  <w:num w:numId="2" w16cid:durableId="1968317021">
    <w:abstractNumId w:val="0"/>
  </w:num>
  <w:num w:numId="3" w16cid:durableId="155045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57"/>
    <w:rsid w:val="001706D2"/>
    <w:rsid w:val="00380C57"/>
    <w:rsid w:val="00A818FD"/>
    <w:rsid w:val="00B577CB"/>
    <w:rsid w:val="00B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BD17252"/>
  <w15:chartTrackingRefBased/>
  <w15:docId w15:val="{9DEAA66C-246C-4A87-B037-10253C4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57"/>
    <w:pPr>
      <w:spacing w:after="0" w:line="240" w:lineRule="auto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4311</Words>
  <Characters>2458</Characters>
  <Application>Microsoft Office Word</Application>
  <DocSecurity>0</DocSecurity>
  <Lines>20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2</cp:revision>
  <dcterms:created xsi:type="dcterms:W3CDTF">2025-12-19T08:06:00Z</dcterms:created>
  <dcterms:modified xsi:type="dcterms:W3CDTF">2025-12-19T08:10:00Z</dcterms:modified>
</cp:coreProperties>
</file>