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B7EE" w14:textId="77777777" w:rsidR="00D41562" w:rsidRPr="00E41B96" w:rsidRDefault="00D41562" w:rsidP="00D41562">
      <w:pPr>
        <w:jc w:val="center"/>
        <w:rPr>
          <w:sz w:val="24"/>
          <w:szCs w:val="24"/>
          <w:lang w:val="lv-LV"/>
        </w:rPr>
      </w:pPr>
      <w:bookmarkStart w:id="0" w:name="_Hlk143696968"/>
      <w:r w:rsidRPr="00E41B96">
        <w:rPr>
          <w:sz w:val="24"/>
          <w:szCs w:val="24"/>
          <w:lang w:val="lv-LV"/>
        </w:rPr>
        <w:t>Olaines novada pašvaldības</w:t>
      </w:r>
    </w:p>
    <w:p w14:paraId="777D25A9" w14:textId="77777777" w:rsidR="00D41562" w:rsidRPr="00E41B96" w:rsidRDefault="00D41562" w:rsidP="00D41562">
      <w:pPr>
        <w:jc w:val="center"/>
        <w:rPr>
          <w:sz w:val="24"/>
          <w:szCs w:val="24"/>
          <w:lang w:val="lv-LV"/>
        </w:rPr>
      </w:pPr>
      <w:bookmarkStart w:id="1" w:name="_Hlk72773299"/>
      <w:r w:rsidRPr="00E41B96">
        <w:rPr>
          <w:sz w:val="24"/>
          <w:szCs w:val="24"/>
          <w:lang w:val="lv-LV"/>
        </w:rPr>
        <w:t>Iepirkuma</w:t>
      </w:r>
      <w:r w:rsidRPr="00E41B96">
        <w:rPr>
          <w:b/>
          <w:sz w:val="24"/>
          <w:szCs w:val="24"/>
          <w:lang w:val="lv-LV"/>
        </w:rPr>
        <w:t xml:space="preserve"> ONP 2025/31</w:t>
      </w:r>
    </w:p>
    <w:p w14:paraId="171ABC82" w14:textId="77777777" w:rsidR="00D41562" w:rsidRPr="00E41B96" w:rsidRDefault="00D41562" w:rsidP="00D41562">
      <w:pPr>
        <w:jc w:val="center"/>
        <w:rPr>
          <w:b/>
          <w:bCs/>
          <w:sz w:val="24"/>
          <w:szCs w:val="24"/>
          <w:lang w:val="lv-LV"/>
        </w:rPr>
      </w:pPr>
      <w:r w:rsidRPr="00E41B96">
        <w:rPr>
          <w:b/>
          <w:sz w:val="24"/>
          <w:szCs w:val="24"/>
          <w:lang w:val="lv-LV"/>
        </w:rPr>
        <w:t>„</w:t>
      </w:r>
      <w:r w:rsidRPr="00E41B96">
        <w:rPr>
          <w:b/>
          <w:iCs/>
          <w:sz w:val="24"/>
          <w:szCs w:val="24"/>
          <w:lang w:val="lv-LV" w:eastAsia="lv-LV"/>
        </w:rPr>
        <w:t>Transporta pakalpojumi iedzīvotāju pārvadāšanai maršrutā “Vaivadi – Jaunolaine – Olaine””</w:t>
      </w:r>
    </w:p>
    <w:bookmarkEnd w:id="1"/>
    <w:p w14:paraId="77BE814B" w14:textId="77777777" w:rsidR="00D41562" w:rsidRPr="00E41B96" w:rsidRDefault="00D41562" w:rsidP="00D41562">
      <w:pPr>
        <w:jc w:val="center"/>
        <w:rPr>
          <w:b/>
          <w:bCs/>
          <w:sz w:val="24"/>
          <w:szCs w:val="24"/>
          <w:lang w:val="lv-LV"/>
        </w:rPr>
      </w:pPr>
    </w:p>
    <w:p w14:paraId="627311AE" w14:textId="77777777" w:rsidR="00D41562" w:rsidRPr="00E41B96" w:rsidRDefault="00D41562" w:rsidP="00D41562">
      <w:pPr>
        <w:jc w:val="center"/>
        <w:rPr>
          <w:b/>
          <w:sz w:val="24"/>
          <w:szCs w:val="24"/>
          <w:lang w:val="lv-LV"/>
        </w:rPr>
      </w:pPr>
      <w:r w:rsidRPr="00E41B96">
        <w:rPr>
          <w:b/>
          <w:sz w:val="24"/>
          <w:szCs w:val="24"/>
          <w:lang w:val="lv-LV"/>
        </w:rPr>
        <w:t>LĒMUMS</w:t>
      </w:r>
    </w:p>
    <w:p w14:paraId="737A2EBA" w14:textId="77777777" w:rsidR="00D41562" w:rsidRPr="00E41B96" w:rsidRDefault="00D41562" w:rsidP="00D41562">
      <w:pPr>
        <w:jc w:val="center"/>
        <w:rPr>
          <w:b/>
          <w:sz w:val="24"/>
          <w:szCs w:val="24"/>
        </w:rPr>
      </w:pPr>
    </w:p>
    <w:p w14:paraId="315F92B4" w14:textId="77777777" w:rsidR="00D41562" w:rsidRPr="00E41B96" w:rsidRDefault="00D41562" w:rsidP="00D41562">
      <w:pPr>
        <w:spacing w:after="120"/>
        <w:ind w:hanging="142"/>
        <w:rPr>
          <w:b/>
          <w:sz w:val="24"/>
          <w:szCs w:val="24"/>
        </w:rPr>
      </w:pPr>
      <w:r w:rsidRPr="00E41B96">
        <w:rPr>
          <w:sz w:val="24"/>
          <w:szCs w:val="24"/>
          <w:lang w:val="lv-LV"/>
        </w:rPr>
        <w:t xml:space="preserve">Olainē </w:t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</w:r>
      <w:r w:rsidRPr="00E41B96">
        <w:rPr>
          <w:sz w:val="24"/>
          <w:szCs w:val="24"/>
          <w:lang w:val="lv-LV"/>
        </w:rPr>
        <w:tab/>
        <w:t>2025.gada 24.jūlijā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D41562" w:rsidRPr="00E41B96" w14:paraId="4C4BFCE2" w14:textId="77777777" w:rsidTr="008C5CE3">
        <w:trPr>
          <w:trHeight w:val="516"/>
        </w:trPr>
        <w:tc>
          <w:tcPr>
            <w:tcW w:w="2835" w:type="dxa"/>
            <w:vAlign w:val="center"/>
          </w:tcPr>
          <w:p w14:paraId="3A8BC40E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  <w:p w14:paraId="1EED1D90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0993D3F0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073661A0" w14:textId="77777777" w:rsidR="00D41562" w:rsidRPr="00E41B96" w:rsidRDefault="00D41562" w:rsidP="008C5CE3">
            <w:pPr>
              <w:rPr>
                <w:sz w:val="24"/>
                <w:szCs w:val="24"/>
              </w:rPr>
            </w:pPr>
            <w:r w:rsidRPr="00E41B96">
              <w:rPr>
                <w:sz w:val="24"/>
                <w:szCs w:val="24"/>
              </w:rPr>
              <w:t>ONP 2025/31</w:t>
            </w:r>
          </w:p>
        </w:tc>
      </w:tr>
      <w:tr w:rsidR="00D41562" w:rsidRPr="00E41B96" w14:paraId="501102BF" w14:textId="77777777" w:rsidTr="008C5CE3">
        <w:trPr>
          <w:trHeight w:val="582"/>
        </w:trPr>
        <w:tc>
          <w:tcPr>
            <w:tcW w:w="2835" w:type="dxa"/>
            <w:vAlign w:val="center"/>
          </w:tcPr>
          <w:p w14:paraId="1A314810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513" w:type="dxa"/>
            <w:vAlign w:val="center"/>
          </w:tcPr>
          <w:p w14:paraId="6FA65F1B" w14:textId="77777777" w:rsidR="00D41562" w:rsidRPr="00E41B96" w:rsidRDefault="00D41562" w:rsidP="008C5CE3">
            <w:pPr>
              <w:rPr>
                <w:b/>
                <w:noProof/>
                <w:sz w:val="24"/>
                <w:szCs w:val="24"/>
              </w:rPr>
            </w:pPr>
            <w:r w:rsidRPr="00E41B96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5C9B9215" w14:textId="77777777" w:rsidR="00D41562" w:rsidRPr="00E41B96" w:rsidRDefault="00D41562" w:rsidP="008C5CE3">
            <w:pPr>
              <w:rPr>
                <w:noProof/>
                <w:sz w:val="24"/>
                <w:szCs w:val="24"/>
              </w:rPr>
            </w:pPr>
            <w:r w:rsidRPr="00E41B96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57401275" w14:textId="77777777" w:rsidR="00D41562" w:rsidRPr="00E41B96" w:rsidRDefault="00D41562" w:rsidP="008C5CE3">
            <w:pPr>
              <w:rPr>
                <w:noProof/>
                <w:sz w:val="24"/>
                <w:szCs w:val="24"/>
              </w:rPr>
            </w:pPr>
            <w:r w:rsidRPr="00E41B96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D41562" w:rsidRPr="00E41B96" w14:paraId="75D7877F" w14:textId="77777777" w:rsidTr="008C5CE3">
        <w:trPr>
          <w:trHeight w:val="621"/>
        </w:trPr>
        <w:tc>
          <w:tcPr>
            <w:tcW w:w="2835" w:type="dxa"/>
            <w:vAlign w:val="center"/>
          </w:tcPr>
          <w:p w14:paraId="37A336F9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  <w:p w14:paraId="0B80C348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65D045F2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021835E0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D41562" w:rsidRPr="00E41B96" w14:paraId="40F53638" w14:textId="77777777" w:rsidTr="008C5CE3">
        <w:trPr>
          <w:trHeight w:val="588"/>
        </w:trPr>
        <w:tc>
          <w:tcPr>
            <w:tcW w:w="2835" w:type="dxa"/>
            <w:vAlign w:val="center"/>
          </w:tcPr>
          <w:p w14:paraId="68760B06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  <w:p w14:paraId="1391C7B7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5AA7657C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62ED341D" w14:textId="77777777" w:rsidR="00D41562" w:rsidRPr="00E41B96" w:rsidRDefault="00D41562" w:rsidP="008C5CE3">
            <w:pPr>
              <w:rPr>
                <w:sz w:val="24"/>
                <w:szCs w:val="24"/>
                <w:lang w:val="lv-LV"/>
              </w:rPr>
            </w:pPr>
            <w:r w:rsidRPr="00E41B96">
              <w:rPr>
                <w:sz w:val="24"/>
                <w:szCs w:val="24"/>
                <w:lang w:val="lv-LV"/>
              </w:rPr>
              <w:t>Transporta pakalpojumi iedzīvotāju pārvadāšanai maršrutā “Vaivadi – Jaunolaine – Olaine” atbilstoši Nolikumam un Nolikuma pielikumos noteiktajām prasībām.</w:t>
            </w:r>
          </w:p>
        </w:tc>
      </w:tr>
      <w:tr w:rsidR="00D41562" w:rsidRPr="00E41B96" w14:paraId="7F42D1A6" w14:textId="77777777" w:rsidTr="008C5CE3">
        <w:trPr>
          <w:trHeight w:val="428"/>
        </w:trPr>
        <w:tc>
          <w:tcPr>
            <w:tcW w:w="2835" w:type="dxa"/>
            <w:vAlign w:val="center"/>
          </w:tcPr>
          <w:p w14:paraId="1A2DDB96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513" w:type="dxa"/>
            <w:vAlign w:val="center"/>
          </w:tcPr>
          <w:p w14:paraId="6C4DC9C7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D41562" w:rsidRPr="00E41B96" w14:paraId="098C8308" w14:textId="77777777" w:rsidTr="008C5CE3">
        <w:tc>
          <w:tcPr>
            <w:tcW w:w="2835" w:type="dxa"/>
            <w:vAlign w:val="center"/>
          </w:tcPr>
          <w:p w14:paraId="4171BEF9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513" w:type="dxa"/>
            <w:vAlign w:val="center"/>
          </w:tcPr>
          <w:p w14:paraId="43B81F10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>09.07.2025.</w:t>
            </w:r>
          </w:p>
        </w:tc>
      </w:tr>
      <w:tr w:rsidR="00D41562" w:rsidRPr="00E41B96" w14:paraId="6020D206" w14:textId="77777777" w:rsidTr="008C5CE3">
        <w:tc>
          <w:tcPr>
            <w:tcW w:w="2835" w:type="dxa"/>
            <w:vAlign w:val="center"/>
          </w:tcPr>
          <w:p w14:paraId="6E8B71B1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513" w:type="dxa"/>
            <w:vAlign w:val="center"/>
          </w:tcPr>
          <w:p w14:paraId="76957E72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>24.07.2025.</w:t>
            </w:r>
          </w:p>
        </w:tc>
      </w:tr>
      <w:tr w:rsidR="00D41562" w:rsidRPr="00E41B96" w14:paraId="7C3FD4D1" w14:textId="77777777" w:rsidTr="008C5CE3">
        <w:trPr>
          <w:trHeight w:val="2998"/>
        </w:trPr>
        <w:tc>
          <w:tcPr>
            <w:tcW w:w="2835" w:type="dxa"/>
            <w:vAlign w:val="center"/>
          </w:tcPr>
          <w:p w14:paraId="66261EB2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513" w:type="dxa"/>
            <w:vAlign w:val="center"/>
          </w:tcPr>
          <w:p w14:paraId="5F748FCB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593" w:type="pct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550"/>
              <w:gridCol w:w="1702"/>
            </w:tblGrid>
            <w:tr w:rsidR="00D41562" w:rsidRPr="00E41B96" w14:paraId="009509D1" w14:textId="77777777" w:rsidTr="008C5CE3">
              <w:tc>
                <w:tcPr>
                  <w:tcW w:w="1824" w:type="pct"/>
                  <w:shd w:val="pct10" w:color="auto" w:fill="auto"/>
                </w:tcPr>
                <w:p w14:paraId="15BD45A0" w14:textId="77777777" w:rsidR="00D41562" w:rsidRPr="00E41B96" w:rsidRDefault="00D41562" w:rsidP="008C5C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41B96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905" w:type="pct"/>
                  <w:shd w:val="pct10" w:color="auto" w:fill="auto"/>
                </w:tcPr>
                <w:p w14:paraId="1924CDAA" w14:textId="77777777" w:rsidR="00D41562" w:rsidRPr="00E41B96" w:rsidRDefault="00D41562" w:rsidP="008C5C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41B96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E41B96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271" w:type="pct"/>
                  <w:shd w:val="pct10" w:color="auto" w:fill="auto"/>
                </w:tcPr>
                <w:p w14:paraId="33F2B1A0" w14:textId="77777777" w:rsidR="00D41562" w:rsidRPr="00E41B96" w:rsidRDefault="00D41562" w:rsidP="008C5C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41B96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D41562" w:rsidRPr="00E41B96" w14:paraId="7D6FCEBE" w14:textId="77777777" w:rsidTr="008C5CE3">
              <w:tc>
                <w:tcPr>
                  <w:tcW w:w="1824" w:type="pct"/>
                </w:tcPr>
                <w:p w14:paraId="70A63D5D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>SIA "DATO trans"</w:t>
                  </w:r>
                  <w:r w:rsidRPr="00E41B96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05" w:type="pct"/>
                </w:tcPr>
                <w:p w14:paraId="348CF998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 xml:space="preserve">23.07.2025 </w:t>
                  </w:r>
                  <w:proofErr w:type="spellStart"/>
                  <w:r w:rsidRPr="00E41B96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41B96">
                    <w:rPr>
                      <w:sz w:val="24"/>
                      <w:szCs w:val="24"/>
                    </w:rPr>
                    <w:t>. 17:51</w:t>
                  </w:r>
                </w:p>
              </w:tc>
              <w:tc>
                <w:tcPr>
                  <w:tcW w:w="1271" w:type="pct"/>
                </w:tcPr>
                <w:p w14:paraId="1F501550" w14:textId="77777777" w:rsidR="00D41562" w:rsidRPr="00E41B96" w:rsidRDefault="00D41562" w:rsidP="008C5CE3">
                  <w:pPr>
                    <w:rPr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>EUR 58842.64</w:t>
                  </w:r>
                </w:p>
                <w:p w14:paraId="5E4E506A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41562" w:rsidRPr="00E41B96" w14:paraId="28CC7CD0" w14:textId="77777777" w:rsidTr="008C5CE3">
              <w:tc>
                <w:tcPr>
                  <w:tcW w:w="1824" w:type="pct"/>
                </w:tcPr>
                <w:p w14:paraId="455B3FDE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E41B96">
                    <w:rPr>
                      <w:sz w:val="24"/>
                      <w:szCs w:val="24"/>
                    </w:rPr>
                    <w:t>NordBus</w:t>
                  </w:r>
                  <w:proofErr w:type="spellEnd"/>
                  <w:r w:rsidRPr="00E41B96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05" w:type="pct"/>
                </w:tcPr>
                <w:p w14:paraId="58ADF067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 xml:space="preserve">23.07.2025 </w:t>
                  </w:r>
                  <w:proofErr w:type="spellStart"/>
                  <w:r w:rsidRPr="00E41B96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41B96">
                    <w:rPr>
                      <w:sz w:val="24"/>
                      <w:szCs w:val="24"/>
                    </w:rPr>
                    <w:t>. 22:23</w:t>
                  </w:r>
                </w:p>
              </w:tc>
              <w:tc>
                <w:tcPr>
                  <w:tcW w:w="1271" w:type="pct"/>
                </w:tcPr>
                <w:p w14:paraId="23EC8792" w14:textId="77777777" w:rsidR="00D41562" w:rsidRPr="00E41B96" w:rsidRDefault="00D41562" w:rsidP="008C5CE3">
                  <w:pPr>
                    <w:rPr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>EUR 92664.0</w:t>
                  </w:r>
                </w:p>
                <w:p w14:paraId="4419B1F2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D41562" w:rsidRPr="00E41B96" w14:paraId="5F542A51" w14:textId="77777777" w:rsidTr="008C5CE3">
              <w:tc>
                <w:tcPr>
                  <w:tcW w:w="1824" w:type="pct"/>
                </w:tcPr>
                <w:p w14:paraId="47DD009E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>"Transports 2" SIA</w:t>
                  </w:r>
                  <w:r w:rsidRPr="00E41B96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05" w:type="pct"/>
                </w:tcPr>
                <w:p w14:paraId="046D8B10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 xml:space="preserve">21.07.2025 </w:t>
                  </w:r>
                  <w:proofErr w:type="spellStart"/>
                  <w:r w:rsidRPr="00E41B96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E41B96">
                    <w:rPr>
                      <w:sz w:val="24"/>
                      <w:szCs w:val="24"/>
                    </w:rPr>
                    <w:t>. 23:05</w:t>
                  </w:r>
                </w:p>
              </w:tc>
              <w:tc>
                <w:tcPr>
                  <w:tcW w:w="1271" w:type="pct"/>
                </w:tcPr>
                <w:p w14:paraId="797C9A3C" w14:textId="77777777" w:rsidR="00D41562" w:rsidRPr="00E41B96" w:rsidRDefault="00D41562" w:rsidP="008C5CE3">
                  <w:pPr>
                    <w:rPr>
                      <w:strike/>
                      <w:color w:val="EE0000"/>
                      <w:sz w:val="24"/>
                      <w:szCs w:val="24"/>
                    </w:rPr>
                  </w:pPr>
                  <w:r w:rsidRPr="00E41B96">
                    <w:rPr>
                      <w:strike/>
                      <w:color w:val="EE0000"/>
                      <w:sz w:val="24"/>
                      <w:szCs w:val="24"/>
                    </w:rPr>
                    <w:t>EUR 34320.0</w:t>
                  </w:r>
                </w:p>
                <w:p w14:paraId="3C35DD31" w14:textId="77777777" w:rsidR="00D41562" w:rsidRPr="00E41B96" w:rsidRDefault="00D41562" w:rsidP="008C5CE3">
                  <w:pPr>
                    <w:rPr>
                      <w:sz w:val="24"/>
                      <w:szCs w:val="24"/>
                    </w:rPr>
                  </w:pPr>
                  <w:r w:rsidRPr="00E41B96">
                    <w:rPr>
                      <w:sz w:val="24"/>
                      <w:szCs w:val="24"/>
                    </w:rPr>
                    <w:t>EUR 45864,00</w:t>
                  </w:r>
                </w:p>
                <w:p w14:paraId="79738221" w14:textId="77777777" w:rsidR="00D41562" w:rsidRPr="00E41B96" w:rsidRDefault="00D41562" w:rsidP="008C5CE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AE848DB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D41562" w:rsidRPr="00E41B96" w14:paraId="5A7454DF" w14:textId="77777777" w:rsidTr="008C5CE3">
        <w:trPr>
          <w:trHeight w:val="1397"/>
        </w:trPr>
        <w:tc>
          <w:tcPr>
            <w:tcW w:w="2835" w:type="dxa"/>
            <w:vAlign w:val="center"/>
          </w:tcPr>
          <w:p w14:paraId="37D45F45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7513" w:type="dxa"/>
            <w:vAlign w:val="center"/>
          </w:tcPr>
          <w:p w14:paraId="6957B1F5" w14:textId="77777777" w:rsidR="00D41562" w:rsidRPr="00E41B96" w:rsidRDefault="00D41562" w:rsidP="008C5CE3">
            <w:pPr>
              <w:jc w:val="both"/>
              <w:rPr>
                <w:b/>
                <w:bCs/>
                <w:noProof/>
                <w:sz w:val="24"/>
                <w:szCs w:val="24"/>
                <w:lang w:val="lv-LV"/>
              </w:rPr>
            </w:pPr>
            <w:r w:rsidRPr="00E41B96">
              <w:rPr>
                <w:b/>
                <w:bCs/>
                <w:noProof/>
                <w:sz w:val="24"/>
                <w:szCs w:val="24"/>
                <w:lang w:val="lv-LV"/>
              </w:rPr>
              <w:t xml:space="preserve">Pretendents </w:t>
            </w:r>
            <w:r w:rsidRPr="00E41B96">
              <w:rPr>
                <w:b/>
                <w:bCs/>
                <w:sz w:val="24"/>
                <w:szCs w:val="24"/>
                <w:lang w:val="lv-LV"/>
              </w:rPr>
              <w:t>"Transports 2" SIA</w:t>
            </w:r>
          </w:p>
          <w:p w14:paraId="6452E050" w14:textId="77777777" w:rsidR="00D41562" w:rsidRPr="00E41B96" w:rsidRDefault="00D41562" w:rsidP="008C5CE3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 xml:space="preserve">Komisija konstatē, ka Pretendents </w:t>
            </w:r>
            <w:r w:rsidRPr="00E41B96">
              <w:rPr>
                <w:sz w:val="24"/>
                <w:szCs w:val="24"/>
                <w:lang w:val="lv-LV"/>
              </w:rPr>
              <w:t>"Transports 2" SIA</w:t>
            </w:r>
            <w:r w:rsidRPr="00E41B96">
              <w:rPr>
                <w:noProof/>
                <w:sz w:val="24"/>
                <w:szCs w:val="24"/>
                <w:lang w:val="lv-LV"/>
              </w:rPr>
              <w:t xml:space="preserve"> ir pieļāvis aritmētiskās kļūdas. </w:t>
            </w:r>
            <w:r w:rsidRPr="00E41B96">
              <w:rPr>
                <w:sz w:val="24"/>
                <w:szCs w:val="24"/>
                <w:lang w:val="lv-LV"/>
              </w:rPr>
              <w:t xml:space="preserve">Pretendenta kopējā piedāvātā līgumcena pēc Komisijas labojumiem sastāda </w:t>
            </w:r>
            <w:r w:rsidRPr="00E41B96">
              <w:rPr>
                <w:b/>
                <w:bCs/>
                <w:sz w:val="24"/>
                <w:szCs w:val="24"/>
                <w:lang w:val="lv-LV"/>
              </w:rPr>
              <w:t xml:space="preserve">EUR 45 864,00 </w:t>
            </w:r>
            <w:r w:rsidRPr="00E41B96">
              <w:rPr>
                <w:sz w:val="24"/>
                <w:szCs w:val="24"/>
                <w:lang w:val="lv-LV"/>
              </w:rPr>
              <w:t>(bez PVN)</w:t>
            </w:r>
            <w:r w:rsidRPr="00E41B96">
              <w:rPr>
                <w:noProof/>
                <w:sz w:val="24"/>
                <w:szCs w:val="24"/>
                <w:lang w:val="lv-LV"/>
              </w:rPr>
              <w:t>.</w:t>
            </w:r>
            <w:r w:rsidRPr="00E41B96">
              <w:rPr>
                <w:sz w:val="24"/>
                <w:szCs w:val="24"/>
                <w:lang w:val="lv-LV"/>
              </w:rPr>
              <w:t xml:space="preserve"> V</w:t>
            </w:r>
            <w:r w:rsidRPr="00E41B96">
              <w:rPr>
                <w:noProof/>
                <w:sz w:val="24"/>
                <w:szCs w:val="24"/>
                <w:lang w:val="lv-LV"/>
              </w:rPr>
              <w:t>ērtējot finanšu piedāvājumu, Komisija ņ</w:t>
            </w:r>
            <w:r>
              <w:rPr>
                <w:noProof/>
                <w:sz w:val="24"/>
                <w:szCs w:val="24"/>
                <w:lang w:val="lv-LV"/>
              </w:rPr>
              <w:t>ē</w:t>
            </w:r>
            <w:r w:rsidRPr="00E41B96">
              <w:rPr>
                <w:noProof/>
                <w:sz w:val="24"/>
                <w:szCs w:val="24"/>
                <w:lang w:val="lv-LV"/>
              </w:rPr>
              <w:t>ma vērā labojumus.</w:t>
            </w:r>
          </w:p>
        </w:tc>
      </w:tr>
      <w:tr w:rsidR="00D41562" w:rsidRPr="00E41B96" w14:paraId="20F91738" w14:textId="77777777" w:rsidTr="008C5CE3">
        <w:tc>
          <w:tcPr>
            <w:tcW w:w="2835" w:type="dxa"/>
            <w:vAlign w:val="center"/>
          </w:tcPr>
          <w:p w14:paraId="3BE8D9DC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513" w:type="dxa"/>
            <w:vAlign w:val="center"/>
          </w:tcPr>
          <w:p w14:paraId="6EFAA782" w14:textId="77777777" w:rsidR="00D41562" w:rsidRPr="00E41B96" w:rsidRDefault="00D41562" w:rsidP="008C5CE3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Saimnieciski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visizdevīgākais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piedāvājums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,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kurš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izraudzīts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atbilstoši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Nolikumā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noteiktajām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prasībām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ar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viszemāko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piedāvāto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kopējo</w:t>
            </w:r>
            <w:proofErr w:type="spellEnd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u w:val="single"/>
                <w:lang w:eastAsia="lv-LV"/>
              </w:rPr>
              <w:t>līgumcenu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tiem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piedāvājumiem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, kas nav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izslēdzami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PIL 9.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panta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astotās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E41B96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 un</w:t>
            </w:r>
            <w:proofErr w:type="gram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Starptautisko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Republikas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nacionālo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sankciju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11.1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pantā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minēto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apstākļu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dēļ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atbilst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visām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pielikumos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noteiktajām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kern w:val="28"/>
                <w:sz w:val="24"/>
                <w:szCs w:val="24"/>
                <w:lang w:eastAsia="lv-LV"/>
              </w:rPr>
              <w:t>prasībām</w:t>
            </w:r>
            <w:proofErr w:type="spellEnd"/>
            <w:r w:rsidRPr="00E41B96">
              <w:rPr>
                <w:kern w:val="28"/>
                <w:sz w:val="24"/>
                <w:szCs w:val="24"/>
                <w:lang w:eastAsia="lv-LV"/>
              </w:rPr>
              <w:t>.</w:t>
            </w:r>
          </w:p>
        </w:tc>
      </w:tr>
      <w:tr w:rsidR="00D41562" w:rsidRPr="00E41B96" w14:paraId="58375296" w14:textId="77777777" w:rsidTr="008C5CE3">
        <w:tc>
          <w:tcPr>
            <w:tcW w:w="2835" w:type="dxa"/>
            <w:vAlign w:val="center"/>
          </w:tcPr>
          <w:p w14:paraId="0EFC95E4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513" w:type="dxa"/>
            <w:vAlign w:val="center"/>
          </w:tcPr>
          <w:p w14:paraId="0B0EF771" w14:textId="77777777" w:rsidR="00D41562" w:rsidRPr="00E41B96" w:rsidRDefault="00D41562" w:rsidP="008C5CE3">
            <w:pPr>
              <w:rPr>
                <w:noProof/>
                <w:sz w:val="24"/>
                <w:szCs w:val="24"/>
                <w:lang w:val="lv-LV"/>
              </w:rPr>
            </w:pPr>
            <w:r w:rsidRPr="00E41B96">
              <w:rPr>
                <w:noProof/>
                <w:sz w:val="24"/>
                <w:szCs w:val="24"/>
                <w:lang w:val="lv-LV"/>
              </w:rPr>
              <w:t>24.07.2025.</w:t>
            </w:r>
          </w:p>
        </w:tc>
      </w:tr>
      <w:tr w:rsidR="00D41562" w:rsidRPr="00E41B96" w14:paraId="5912C9A2" w14:textId="77777777" w:rsidTr="008C5CE3">
        <w:tc>
          <w:tcPr>
            <w:tcW w:w="2835" w:type="dxa"/>
            <w:vAlign w:val="center"/>
          </w:tcPr>
          <w:p w14:paraId="5D682898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513" w:type="dxa"/>
            <w:vAlign w:val="center"/>
          </w:tcPr>
          <w:p w14:paraId="7FEA42D4" w14:textId="77777777" w:rsidR="00D41562" w:rsidRPr="00E41B96" w:rsidRDefault="00D41562" w:rsidP="008C5CE3">
            <w:pPr>
              <w:spacing w:after="240"/>
              <w:jc w:val="both"/>
              <w:rPr>
                <w:bCs/>
                <w:sz w:val="24"/>
                <w:szCs w:val="24"/>
                <w:highlight w:val="yellow"/>
                <w:lang w:val="lv-LV"/>
              </w:rPr>
            </w:pPr>
            <w:r w:rsidRPr="00E41B96">
              <w:rPr>
                <w:bCs/>
                <w:sz w:val="24"/>
                <w:szCs w:val="24"/>
                <w:lang w:val="lv-LV"/>
              </w:rPr>
              <w:t xml:space="preserve">Pretendentu </w:t>
            </w:r>
            <w:r w:rsidRPr="00E41B96">
              <w:rPr>
                <w:sz w:val="24"/>
                <w:szCs w:val="24"/>
              </w:rPr>
              <w:t>SIA "DATO trans"</w:t>
            </w:r>
            <w:r w:rsidRPr="00E41B96">
              <w:rPr>
                <w:bCs/>
                <w:sz w:val="24"/>
                <w:szCs w:val="24"/>
                <w:lang w:val="lv-LV"/>
              </w:rPr>
              <w:t xml:space="preserve">, </w:t>
            </w:r>
            <w:r w:rsidRPr="00E41B96">
              <w:rPr>
                <w:sz w:val="24"/>
                <w:szCs w:val="24"/>
              </w:rPr>
              <w:t xml:space="preserve">SIA </w:t>
            </w:r>
            <w:proofErr w:type="spellStart"/>
            <w:r w:rsidRPr="00E41B96">
              <w:rPr>
                <w:sz w:val="24"/>
                <w:szCs w:val="24"/>
              </w:rPr>
              <w:t>NordBus</w:t>
            </w:r>
            <w:proofErr w:type="spellEnd"/>
            <w:r w:rsidRPr="00E41B96">
              <w:rPr>
                <w:bCs/>
                <w:sz w:val="24"/>
                <w:szCs w:val="24"/>
                <w:lang w:val="lv-LV"/>
              </w:rPr>
              <w:t xml:space="preserve"> un </w:t>
            </w:r>
            <w:r w:rsidRPr="00E41B96">
              <w:rPr>
                <w:sz w:val="24"/>
                <w:szCs w:val="24"/>
              </w:rPr>
              <w:t>"Transports 2" SIA</w:t>
            </w:r>
            <w:r w:rsidRPr="00E41B96">
              <w:rPr>
                <w:bCs/>
                <w:sz w:val="24"/>
                <w:szCs w:val="24"/>
              </w:rPr>
              <w:t xml:space="preserve"> </w:t>
            </w:r>
            <w:r w:rsidRPr="00E41B96">
              <w:rPr>
                <w:bCs/>
                <w:sz w:val="24"/>
                <w:szCs w:val="24"/>
                <w:lang w:val="lv-LV"/>
              </w:rPr>
              <w:t xml:space="preserve">kopējās piedāvātās līgumcenas (bez PVN) pārsniedz Publisko iepirkumu likuma 9.panta 1.daļā norādīto publiskā piegādes līguma vai publiskā pakalpojuma līguma līgumcenas slieksni – EUR 42 000,00 (četrdesmit divi tūkstoši </w:t>
            </w:r>
            <w:proofErr w:type="spellStart"/>
            <w:r w:rsidRPr="00E41B96">
              <w:rPr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E41B96">
              <w:rPr>
                <w:bCs/>
                <w:sz w:val="24"/>
                <w:szCs w:val="24"/>
                <w:lang w:val="lv-LV"/>
              </w:rPr>
              <w:t xml:space="preserve"> un 00 centi) bez pievienotās vērtības nodokļa.</w:t>
            </w:r>
          </w:p>
        </w:tc>
      </w:tr>
      <w:tr w:rsidR="00D41562" w:rsidRPr="00E41B96" w14:paraId="1B1317AA" w14:textId="77777777" w:rsidTr="008C5CE3">
        <w:trPr>
          <w:trHeight w:val="707"/>
        </w:trPr>
        <w:tc>
          <w:tcPr>
            <w:tcW w:w="2835" w:type="dxa"/>
            <w:vAlign w:val="center"/>
          </w:tcPr>
          <w:p w14:paraId="40CE2730" w14:textId="77777777" w:rsidR="00D41562" w:rsidRPr="00E41B96" w:rsidRDefault="00D41562" w:rsidP="008C5CE3">
            <w:pPr>
              <w:rPr>
                <w:b/>
                <w:sz w:val="24"/>
                <w:szCs w:val="24"/>
                <w:lang w:val="lv-LV"/>
              </w:rPr>
            </w:pPr>
            <w:r w:rsidRPr="00E41B96">
              <w:rPr>
                <w:b/>
                <w:sz w:val="24"/>
                <w:szCs w:val="24"/>
                <w:lang w:val="lv-LV"/>
              </w:rPr>
              <w:lastRenderedPageBreak/>
              <w:t>Informācija par iepirkuma pārtraukšanu</w:t>
            </w:r>
          </w:p>
        </w:tc>
        <w:tc>
          <w:tcPr>
            <w:tcW w:w="7513" w:type="dxa"/>
            <w:vAlign w:val="center"/>
          </w:tcPr>
          <w:p w14:paraId="3FC24663" w14:textId="77777777" w:rsidR="00D41562" w:rsidRPr="00E41B96" w:rsidRDefault="00D41562" w:rsidP="008C5CE3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bookmarkStart w:id="2" w:name="_Hlk160458732"/>
            <w:r w:rsidRPr="00E41B96">
              <w:rPr>
                <w:sz w:val="24"/>
                <w:szCs w:val="24"/>
                <w:lang w:val="lv-LV"/>
              </w:rPr>
              <w:t>Saskaņā ar Publisko iepirkumu likuma 9.panta 13</w:t>
            </w:r>
            <w:r w:rsidRPr="00E41B96">
              <w:rPr>
                <w:sz w:val="24"/>
                <w:szCs w:val="24"/>
                <w:vertAlign w:val="superscript"/>
                <w:lang w:val="lv-LV"/>
              </w:rPr>
              <w:t>1</w:t>
            </w:r>
            <w:r w:rsidRPr="00E41B96">
              <w:rPr>
                <w:sz w:val="24"/>
                <w:szCs w:val="24"/>
                <w:lang w:val="lv-LV"/>
              </w:rPr>
              <w:t>.daļu</w:t>
            </w:r>
            <w:bookmarkEnd w:id="2"/>
            <w:r w:rsidRPr="00E41B96">
              <w:rPr>
                <w:sz w:val="24"/>
                <w:szCs w:val="24"/>
                <w:lang w:val="lv-LV"/>
              </w:rPr>
              <w:t xml:space="preserve"> </w:t>
            </w:r>
            <w:bookmarkStart w:id="3" w:name="_Hlk121143828"/>
            <w:r w:rsidRPr="00E41B96">
              <w:rPr>
                <w:sz w:val="24"/>
                <w:szCs w:val="24"/>
                <w:lang w:val="lv-LV"/>
              </w:rPr>
              <w:t xml:space="preserve">iepirkumu komisija nolemj pārtraukt iepirkuma </w:t>
            </w:r>
            <w:r w:rsidRPr="00E41B96">
              <w:rPr>
                <w:bCs/>
                <w:sz w:val="24"/>
                <w:szCs w:val="24"/>
              </w:rPr>
              <w:t>ONP 2025/31 „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Transporta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pakalpojumi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iedzīvotāju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pārvadāšanai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maršrutā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Vaivadi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Jaunolaine</w:t>
            </w:r>
            <w:proofErr w:type="spellEnd"/>
            <w:r w:rsidRPr="00E41B96">
              <w:rPr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E41B96">
              <w:rPr>
                <w:bCs/>
                <w:sz w:val="24"/>
                <w:szCs w:val="24"/>
                <w:lang w:eastAsia="lv-LV"/>
              </w:rPr>
              <w:t>Olaine</w:t>
            </w:r>
            <w:proofErr w:type="spellEnd"/>
            <w:r w:rsidRPr="00E41B96">
              <w:rPr>
                <w:bCs/>
                <w:sz w:val="24"/>
                <w:szCs w:val="24"/>
              </w:rPr>
              <w:t>””</w:t>
            </w:r>
            <w:r w:rsidRPr="00E41B96">
              <w:rPr>
                <w:sz w:val="24"/>
                <w:szCs w:val="24"/>
                <w:lang w:val="lv-LV"/>
              </w:rPr>
              <w:t xml:space="preserve"> procedūru un uzsākt jaunas iepirkuma procedūras izsludināšanu pēc grozījumu veikšanas iepirkuma dokumentācijā.</w:t>
            </w:r>
            <w:bookmarkEnd w:id="3"/>
          </w:p>
        </w:tc>
      </w:tr>
      <w:bookmarkEnd w:id="0"/>
    </w:tbl>
    <w:p w14:paraId="1512BC05" w14:textId="77777777" w:rsidR="00BE7DD1" w:rsidRPr="00D41562" w:rsidRDefault="00BE7DD1" w:rsidP="00D41562"/>
    <w:sectPr w:rsidR="00BE7DD1" w:rsidRPr="00D41562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5CFC" w14:textId="77777777" w:rsidR="00C858E4" w:rsidRDefault="00C858E4" w:rsidP="00C858E4">
      <w:r>
        <w:separator/>
      </w:r>
    </w:p>
  </w:endnote>
  <w:endnote w:type="continuationSeparator" w:id="0">
    <w:p w14:paraId="0AB30902" w14:textId="77777777" w:rsidR="00C858E4" w:rsidRDefault="00C858E4" w:rsidP="00C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37A1" w14:textId="77777777" w:rsidR="00C858E4" w:rsidRDefault="00C858E4" w:rsidP="00C858E4">
      <w:r>
        <w:separator/>
      </w:r>
    </w:p>
  </w:footnote>
  <w:footnote w:type="continuationSeparator" w:id="0">
    <w:p w14:paraId="6782B9DA" w14:textId="77777777" w:rsidR="00C858E4" w:rsidRDefault="00C858E4" w:rsidP="00C8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82533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D1FF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5E36A6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07E10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858E4"/>
    <w:rsid w:val="00CB71E9"/>
    <w:rsid w:val="00CC2691"/>
    <w:rsid w:val="00D01EDB"/>
    <w:rsid w:val="00D215A1"/>
    <w:rsid w:val="00D235E1"/>
    <w:rsid w:val="00D27660"/>
    <w:rsid w:val="00D332D3"/>
    <w:rsid w:val="00D41562"/>
    <w:rsid w:val="00D57522"/>
    <w:rsid w:val="00D826FD"/>
    <w:rsid w:val="00DA352D"/>
    <w:rsid w:val="00DB0770"/>
    <w:rsid w:val="00DF3B66"/>
    <w:rsid w:val="00E01FB8"/>
    <w:rsid w:val="00E027A0"/>
    <w:rsid w:val="00E06D28"/>
    <w:rsid w:val="00E165E0"/>
    <w:rsid w:val="00E216EC"/>
    <w:rsid w:val="00E85B56"/>
    <w:rsid w:val="00EB6994"/>
    <w:rsid w:val="00F0037A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8E4"/>
    <w:rPr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8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20</cp:revision>
  <cp:lastPrinted>2021-03-01T10:04:00Z</cp:lastPrinted>
  <dcterms:created xsi:type="dcterms:W3CDTF">2019-03-11T16:10:00Z</dcterms:created>
  <dcterms:modified xsi:type="dcterms:W3CDTF">2025-07-24T12:46:00Z</dcterms:modified>
</cp:coreProperties>
</file>