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4FF0" w:rsidRDefault="00EC0C40" w:rsidP="002A6186">
      <w:pPr>
        <w:shd w:val="clear" w:color="auto" w:fill="FFFFFF" w:themeFill="background1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  <w:lang w:eastAsia="lv-LV"/>
        </w:rPr>
      </w:pPr>
      <w:r w:rsidRPr="002A6186"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lv-LV"/>
        </w:rPr>
        <w:t xml:space="preserve">Informācija ilgstošas sociālas aprūpes un sociālās rehabilitācijas institūciju </w:t>
      </w:r>
      <w:r w:rsidRPr="002A6186">
        <w:rPr>
          <w:rFonts w:ascii="Times New Roman" w:eastAsia="Times New Roman" w:hAnsi="Times New Roman" w:cs="Times New Roman"/>
          <w:b/>
          <w:sz w:val="25"/>
          <w:szCs w:val="25"/>
          <w:lang w:eastAsia="lv-LV"/>
        </w:rPr>
        <w:t>klientu tuviniekiem</w:t>
      </w:r>
    </w:p>
    <w:p w:rsidR="00F2513A" w:rsidRPr="007C6E55" w:rsidRDefault="00F2513A" w:rsidP="009B22B4">
      <w:pPr>
        <w:shd w:val="clear" w:color="auto" w:fill="FFFFFF" w:themeFill="background1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"/>
          <w:szCs w:val="2"/>
          <w:lang w:eastAsia="lv-LV"/>
        </w:rPr>
      </w:pPr>
    </w:p>
    <w:p w:rsidR="000D7C67" w:rsidRDefault="00835409" w:rsidP="009B22B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40E">
        <w:rPr>
          <w:rFonts w:ascii="Times New Roman" w:eastAsia="Calibri" w:hAnsi="Times New Roman" w:cs="Times New Roman"/>
          <w:sz w:val="24"/>
          <w:szCs w:val="24"/>
        </w:rPr>
        <w:t>S</w:t>
      </w:r>
      <w:r w:rsidR="00DD2324" w:rsidRPr="00FE540E">
        <w:rPr>
          <w:rFonts w:ascii="Times New Roman" w:eastAsia="Calibri" w:hAnsi="Times New Roman" w:cs="Times New Roman"/>
          <w:sz w:val="24"/>
          <w:szCs w:val="24"/>
        </w:rPr>
        <w:t>askaņā ar Eiropas Slimību profilakses un kontroles centra (ECDC) novērtējumu</w:t>
      </w:r>
      <w:r w:rsidR="00DD2324" w:rsidRPr="00FE540E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="00DD2324" w:rsidRPr="00FE540E">
        <w:rPr>
          <w:rFonts w:ascii="Times New Roman" w:eastAsia="Calibri" w:hAnsi="Times New Roman" w:cs="Times New Roman"/>
          <w:sz w:val="24"/>
          <w:szCs w:val="24"/>
        </w:rPr>
        <w:t xml:space="preserve"> Eiropas Savienības un Eiropas Ekonomikas zonas valstīs augsta Covid-19 saslimstība un mirstība novērota ilgstošās aprūpes iestādēs, kas rada nopietnas problēmas infekcijas profilaksei un kontrolei šādās iestādēs. Saistībā ar minēto S</w:t>
      </w:r>
      <w:r w:rsidR="00F10799" w:rsidRPr="00FE540E">
        <w:rPr>
          <w:rFonts w:ascii="Times New Roman" w:eastAsia="Calibri" w:hAnsi="Times New Roman" w:cs="Times New Roman"/>
          <w:sz w:val="24"/>
          <w:szCs w:val="24"/>
        </w:rPr>
        <w:t>limību profilakses un kontroles centrs (S</w:t>
      </w:r>
      <w:r w:rsidR="00DD2324" w:rsidRPr="00FE540E">
        <w:rPr>
          <w:rFonts w:ascii="Times New Roman" w:eastAsia="Calibri" w:hAnsi="Times New Roman" w:cs="Times New Roman"/>
          <w:sz w:val="24"/>
          <w:szCs w:val="24"/>
        </w:rPr>
        <w:t>PKC</w:t>
      </w:r>
      <w:r w:rsidR="00F10799" w:rsidRPr="00FE540E">
        <w:rPr>
          <w:rFonts w:ascii="Times New Roman" w:eastAsia="Calibri" w:hAnsi="Times New Roman" w:cs="Times New Roman"/>
          <w:sz w:val="24"/>
          <w:szCs w:val="24"/>
        </w:rPr>
        <w:t>)</w:t>
      </w:r>
      <w:r w:rsidR="00DD2324" w:rsidRPr="00FE540E">
        <w:rPr>
          <w:rFonts w:ascii="Times New Roman" w:eastAsia="Calibri" w:hAnsi="Times New Roman" w:cs="Times New Roman"/>
          <w:sz w:val="24"/>
          <w:szCs w:val="24"/>
        </w:rPr>
        <w:t xml:space="preserve"> ir norādījis, ka ir ļoti svarīgi spēt ātri identificēt, novērtēt un kontrolēt C</w:t>
      </w:r>
      <w:r w:rsidR="00FD32D9">
        <w:rPr>
          <w:rFonts w:ascii="Times New Roman" w:eastAsia="Calibri" w:hAnsi="Times New Roman" w:cs="Times New Roman"/>
          <w:sz w:val="24"/>
          <w:szCs w:val="24"/>
        </w:rPr>
        <w:t>ovid</w:t>
      </w:r>
      <w:r w:rsidR="00DD2324" w:rsidRPr="00FE540E">
        <w:rPr>
          <w:rFonts w:ascii="Times New Roman" w:eastAsia="Calibri" w:hAnsi="Times New Roman" w:cs="Times New Roman"/>
          <w:sz w:val="24"/>
          <w:szCs w:val="24"/>
        </w:rPr>
        <w:t xml:space="preserve">-19 uzliesmojumus </w:t>
      </w:r>
      <w:r w:rsidR="00DD2324" w:rsidRPr="00FE540E">
        <w:rPr>
          <w:rFonts w:ascii="Times New Roman" w:eastAsia="Calibri" w:hAnsi="Times New Roman" w:cs="Times New Roman"/>
          <w:bCs/>
          <w:sz w:val="24"/>
          <w:szCs w:val="24"/>
        </w:rPr>
        <w:t>institūcijās</w:t>
      </w:r>
      <w:r w:rsidR="00DD2324" w:rsidRPr="00FE540E">
        <w:rPr>
          <w:rFonts w:ascii="Times New Roman" w:eastAsia="Calibri" w:hAnsi="Times New Roman" w:cs="Times New Roman"/>
          <w:sz w:val="24"/>
          <w:szCs w:val="24"/>
        </w:rPr>
        <w:t xml:space="preserve">, lai aizsargātu sabiedrības </w:t>
      </w:r>
      <w:r w:rsidR="00DD2324" w:rsidRPr="00851365">
        <w:rPr>
          <w:rFonts w:ascii="Times New Roman" w:eastAsia="Calibri" w:hAnsi="Times New Roman" w:cs="Times New Roman"/>
          <w:sz w:val="24"/>
          <w:szCs w:val="24"/>
        </w:rPr>
        <w:t xml:space="preserve">daļu ar augstu inficēšanās un masveida saslimšanas risku. </w:t>
      </w:r>
    </w:p>
    <w:p w:rsidR="00B2403B" w:rsidRPr="00B2403B" w:rsidRDefault="00B2403B" w:rsidP="009B22B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0D7C67" w:rsidRPr="00851365" w:rsidRDefault="00DD2324" w:rsidP="009B22B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1365">
        <w:rPr>
          <w:rFonts w:ascii="Times New Roman" w:eastAsia="Calibri" w:hAnsi="Times New Roman" w:cs="Times New Roman"/>
          <w:sz w:val="24"/>
          <w:szCs w:val="24"/>
        </w:rPr>
        <w:t>Tādējādi,</w:t>
      </w:r>
      <w:r w:rsidR="00B956B9" w:rsidRPr="008513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6FF1" w:rsidRPr="00851365">
        <w:rPr>
          <w:rFonts w:ascii="Times New Roman" w:eastAsia="Calibri" w:hAnsi="Times New Roman" w:cs="Times New Roman"/>
          <w:sz w:val="24"/>
          <w:szCs w:val="24"/>
        </w:rPr>
        <w:t xml:space="preserve">kaut arī </w:t>
      </w:r>
      <w:r w:rsidR="00EF6FF1" w:rsidRPr="00851365">
        <w:rPr>
          <w:rFonts w:ascii="Times New Roman" w:hAnsi="Times New Roman" w:cs="Times New Roman"/>
          <w:sz w:val="24"/>
          <w:szCs w:val="24"/>
          <w:shd w:val="clear" w:color="auto" w:fill="FFFFFF"/>
        </w:rPr>
        <w:t>šobrīd ir uzlabojusies epidemioloģiskā situācija valstī un pasaulē, tomēr</w:t>
      </w:r>
      <w:r w:rsidR="00851365" w:rsidRPr="0085136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F6FF1" w:rsidRPr="008513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ievērojot minēto, lai preventīvi </w:t>
      </w:r>
      <w:r w:rsidR="00EF6FF1" w:rsidRPr="00851365">
        <w:rPr>
          <w:rFonts w:ascii="Times New Roman" w:eastAsia="Calibri" w:hAnsi="Times New Roman" w:cs="Times New Roman"/>
          <w:sz w:val="24"/>
          <w:szCs w:val="24"/>
        </w:rPr>
        <w:t>novērstu minētās infekcijas izplatīb</w:t>
      </w:r>
      <w:r w:rsidR="00851365" w:rsidRPr="00851365">
        <w:rPr>
          <w:rFonts w:ascii="Times New Roman" w:eastAsia="Calibri" w:hAnsi="Times New Roman" w:cs="Times New Roman"/>
          <w:sz w:val="24"/>
          <w:szCs w:val="24"/>
        </w:rPr>
        <w:t>as risku</w:t>
      </w:r>
      <w:r w:rsidRPr="008513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3B05" w:rsidRPr="00851365">
        <w:rPr>
          <w:rFonts w:ascii="Times New Roman" w:eastAsia="Calibri" w:hAnsi="Times New Roman" w:cs="Times New Roman"/>
          <w:sz w:val="24"/>
          <w:szCs w:val="24"/>
        </w:rPr>
        <w:t xml:space="preserve">ilgstošas sociālās aprūpes un sociālās rehabilitācijas </w:t>
      </w:r>
      <w:r w:rsidRPr="00851365">
        <w:rPr>
          <w:rFonts w:ascii="Times New Roman" w:eastAsia="Calibri" w:hAnsi="Times New Roman" w:cs="Times New Roman"/>
          <w:sz w:val="24"/>
          <w:szCs w:val="24"/>
        </w:rPr>
        <w:t>institūcijās</w:t>
      </w:r>
      <w:r w:rsidR="00143B05" w:rsidRPr="00851365">
        <w:rPr>
          <w:rFonts w:ascii="Times New Roman" w:eastAsia="Calibri" w:hAnsi="Times New Roman" w:cs="Times New Roman"/>
          <w:sz w:val="24"/>
          <w:szCs w:val="24"/>
        </w:rPr>
        <w:t xml:space="preserve"> (turpmāk – SAC)</w:t>
      </w:r>
      <w:r w:rsidRPr="0085136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74420">
        <w:rPr>
          <w:rFonts w:ascii="Times New Roman" w:eastAsia="Calibri" w:hAnsi="Times New Roman" w:cs="Times New Roman"/>
          <w:sz w:val="24"/>
          <w:szCs w:val="24"/>
        </w:rPr>
        <w:t xml:space="preserve">ir saglabātas iespējas SAC </w:t>
      </w:r>
      <w:r w:rsidRPr="00851365">
        <w:rPr>
          <w:rFonts w:ascii="Times New Roman" w:eastAsia="Calibri" w:hAnsi="Times New Roman" w:cs="Times New Roman"/>
          <w:sz w:val="24"/>
          <w:szCs w:val="24"/>
        </w:rPr>
        <w:t xml:space="preserve">atsevišķi ierobežojumi saglabāti arī </w:t>
      </w:r>
      <w:r w:rsidR="00F10799" w:rsidRPr="00851365">
        <w:rPr>
          <w:rFonts w:ascii="Times New Roman" w:eastAsia="Calibri" w:hAnsi="Times New Roman" w:cs="Times New Roman"/>
          <w:sz w:val="24"/>
          <w:szCs w:val="24"/>
        </w:rPr>
        <w:t>šobrīd, ta</w:t>
      </w:r>
      <w:r w:rsidR="007C6E55" w:rsidRPr="00851365">
        <w:rPr>
          <w:rFonts w:ascii="Times New Roman" w:eastAsia="Calibri" w:hAnsi="Times New Roman" w:cs="Times New Roman"/>
          <w:sz w:val="24"/>
          <w:szCs w:val="24"/>
        </w:rPr>
        <w:t>jā</w:t>
      </w:r>
      <w:r w:rsidR="00F10799" w:rsidRPr="00851365">
        <w:rPr>
          <w:rFonts w:ascii="Times New Roman" w:eastAsia="Calibri" w:hAnsi="Times New Roman" w:cs="Times New Roman"/>
          <w:sz w:val="24"/>
          <w:szCs w:val="24"/>
        </w:rPr>
        <w:t xml:space="preserve"> skaitā arī</w:t>
      </w:r>
      <w:r w:rsidR="00D9783C" w:rsidRPr="008513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57BDC" w:rsidRPr="008513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attiecībā uz </w:t>
      </w:r>
      <w:r w:rsidR="00820680" w:rsidRPr="00851365">
        <w:rPr>
          <w:rFonts w:ascii="Times New Roman" w:eastAsia="Times New Roman" w:hAnsi="Times New Roman" w:cs="Times New Roman"/>
          <w:sz w:val="24"/>
          <w:szCs w:val="24"/>
          <w:lang w:eastAsia="lv-LV"/>
        </w:rPr>
        <w:t>SAC</w:t>
      </w:r>
      <w:r w:rsidR="00EC0C40" w:rsidRPr="008513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10799" w:rsidRPr="008513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klientu </w:t>
      </w:r>
      <w:r w:rsidR="00D85586" w:rsidRPr="008513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tuvinieku </w:t>
      </w:r>
      <w:r w:rsidR="00F10799" w:rsidRPr="00851365">
        <w:rPr>
          <w:rFonts w:ascii="Times New Roman" w:eastAsia="Times New Roman" w:hAnsi="Times New Roman" w:cs="Times New Roman"/>
          <w:sz w:val="24"/>
          <w:szCs w:val="24"/>
          <w:lang w:eastAsia="lv-LV"/>
        </w:rPr>
        <w:t>apmeklējumiem.</w:t>
      </w:r>
      <w:bookmarkStart w:id="0" w:name="_Hlk71556583"/>
    </w:p>
    <w:p w:rsidR="00FD32D9" w:rsidRPr="00851365" w:rsidRDefault="00FD32D9" w:rsidP="009B22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D32D9" w:rsidRPr="00851365" w:rsidRDefault="00FD32D9" w:rsidP="009B22B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C67" w:rsidRPr="00851365" w:rsidRDefault="000D7C67" w:rsidP="009B22B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65">
        <w:rPr>
          <w:rFonts w:ascii="Times New Roman" w:hAnsi="Times New Roman" w:cs="Times New Roman"/>
          <w:b/>
          <w:sz w:val="24"/>
          <w:szCs w:val="24"/>
        </w:rPr>
        <w:t xml:space="preserve">Tikšanās, izvērtējot inficēšanās riskus un ievērojot </w:t>
      </w:r>
      <w:r w:rsidR="009C1092" w:rsidRPr="00851365">
        <w:rPr>
          <w:rFonts w:ascii="Times New Roman" w:hAnsi="Times New Roman" w:cs="Times New Roman"/>
          <w:b/>
          <w:sz w:val="24"/>
          <w:szCs w:val="24"/>
        </w:rPr>
        <w:t>SAC</w:t>
      </w:r>
      <w:r w:rsidRPr="00851365">
        <w:rPr>
          <w:rFonts w:ascii="Times New Roman" w:hAnsi="Times New Roman" w:cs="Times New Roman"/>
          <w:b/>
          <w:sz w:val="24"/>
          <w:szCs w:val="24"/>
        </w:rPr>
        <w:t xml:space="preserve"> noteiktās  epidemioloģiskās drošības prasības, var tikt organizēta tikai tad, ja:</w:t>
      </w:r>
    </w:p>
    <w:p w:rsidR="009C1092" w:rsidRPr="00274420" w:rsidRDefault="009C1092" w:rsidP="009B22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lv-LV"/>
        </w:rPr>
      </w:pPr>
    </w:p>
    <w:p w:rsidR="00FB6A33" w:rsidRDefault="00FB6A33" w:rsidP="00CA57C6">
      <w:pPr>
        <w:pStyle w:val="Bezatstarpm"/>
        <w:numPr>
          <w:ilvl w:val="0"/>
          <w:numId w:val="5"/>
        </w:numPr>
        <w:shd w:val="clear" w:color="auto" w:fill="FFFFFF" w:themeFill="background1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57C6">
        <w:rPr>
          <w:rFonts w:ascii="Times New Roman" w:hAnsi="Times New Roman" w:cs="Times New Roman"/>
          <w:sz w:val="24"/>
          <w:szCs w:val="24"/>
        </w:rPr>
        <w:t>t</w:t>
      </w:r>
      <w:r w:rsidR="000D7C67" w:rsidRPr="00CA57C6">
        <w:rPr>
          <w:rFonts w:ascii="Times New Roman" w:hAnsi="Times New Roman" w:cs="Times New Roman"/>
          <w:sz w:val="24"/>
          <w:szCs w:val="24"/>
        </w:rPr>
        <w:t>uviniek</w:t>
      </w:r>
      <w:r w:rsidRPr="00CA57C6">
        <w:rPr>
          <w:rFonts w:ascii="Times New Roman" w:hAnsi="Times New Roman" w:cs="Times New Roman"/>
          <w:sz w:val="24"/>
          <w:szCs w:val="24"/>
        </w:rPr>
        <w:t>am nav</w:t>
      </w:r>
      <w:r w:rsidRPr="00CA57C6">
        <w:rPr>
          <w:rFonts w:ascii="Times New Roman" w:eastAsia="Times New Roman" w:hAnsi="Times New Roman" w:cs="Times New Roman"/>
          <w:sz w:val="24"/>
          <w:szCs w:val="24"/>
        </w:rPr>
        <w:t xml:space="preserve"> noteikta izolācija</w:t>
      </w:r>
      <w:r w:rsidR="00C03EDD">
        <w:rPr>
          <w:rStyle w:val="Vresatsauce"/>
          <w:rFonts w:ascii="Times New Roman" w:eastAsia="Times New Roman" w:hAnsi="Times New Roman" w:cs="Times New Roman"/>
          <w:sz w:val="24"/>
          <w:szCs w:val="24"/>
        </w:rPr>
        <w:footnoteReference w:id="2"/>
      </w:r>
      <w:r w:rsidRPr="00CA57C6">
        <w:rPr>
          <w:rFonts w:ascii="Times New Roman" w:hAnsi="Times New Roman" w:cs="Times New Roman"/>
          <w:sz w:val="24"/>
          <w:szCs w:val="24"/>
        </w:rPr>
        <w:t xml:space="preserve">, </w:t>
      </w:r>
      <w:r w:rsidRPr="00CA57C6">
        <w:rPr>
          <w:rFonts w:ascii="Times New Roman" w:hAnsi="Times New Roman" w:cs="Times New Roman"/>
          <w:color w:val="000000" w:themeColor="text1"/>
          <w:sz w:val="24"/>
          <w:szCs w:val="24"/>
        </w:rPr>
        <w:t>kā arī tuviniekam nav</w:t>
      </w:r>
      <w:r w:rsidRPr="00CA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Covid-19 raksturīgo klīnisko simptomu - </w:t>
      </w:r>
      <w:hyperlink r:id="rId8" w:history="1">
        <w:r w:rsidRPr="00CA57C6">
          <w:rPr>
            <w:rStyle w:val="Hipersaite"/>
            <w:rFonts w:ascii="Times New Roman" w:hAnsi="Times New Roman" w:cs="Times New Roman"/>
            <w:sz w:val="24"/>
            <w:szCs w:val="24"/>
          </w:rPr>
          <w:t>https://covid19.gov.lv/covid-19/par-covid-19/simptomi</w:t>
        </w:r>
      </w:hyperlink>
      <w:r w:rsidRPr="00CA57C6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Pr="00CA57C6">
        <w:rPr>
          <w:rFonts w:ascii="Times New Roman" w:eastAsia="Times New Roman" w:hAnsi="Times New Roman" w:cs="Times New Roman"/>
          <w:sz w:val="24"/>
          <w:szCs w:val="24"/>
        </w:rPr>
        <w:t xml:space="preserve"> un elpceļu infekcijas slimības pazīm</w:t>
      </w:r>
      <w:r w:rsidR="00143B05" w:rsidRPr="00CA57C6">
        <w:rPr>
          <w:rFonts w:ascii="Times New Roman" w:eastAsia="Times New Roman" w:hAnsi="Times New Roman" w:cs="Times New Roman"/>
          <w:sz w:val="24"/>
          <w:szCs w:val="24"/>
        </w:rPr>
        <w:t>ju</w:t>
      </w:r>
      <w:r w:rsidRPr="00CA57C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A5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03EDD" w:rsidRPr="00C03EDD" w:rsidRDefault="00C03EDD" w:rsidP="00C03EDD">
      <w:pPr>
        <w:pStyle w:val="Bezatstarpm"/>
        <w:shd w:val="clear" w:color="auto" w:fill="FFFFFF" w:themeFill="background1"/>
        <w:ind w:left="36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C1092" w:rsidRPr="00CA57C6" w:rsidRDefault="000D7C67" w:rsidP="00CA57C6">
      <w:pPr>
        <w:pStyle w:val="Bezatstarpm"/>
        <w:numPr>
          <w:ilvl w:val="0"/>
          <w:numId w:val="5"/>
        </w:numPr>
        <w:shd w:val="clear" w:color="auto" w:fill="FFFFFF" w:themeFill="background1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5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tikšanās laikā tiek ievēroti </w:t>
      </w:r>
      <w:r w:rsidR="00CA57C6" w:rsidRPr="00CA5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SAC  noteiktie epidemioloģiskās </w:t>
      </w:r>
      <w:r w:rsidRPr="00CA5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drošības pasākumi </w:t>
      </w:r>
      <w:r w:rsidR="00CA57C6" w:rsidRPr="00CA57C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43B05" w:rsidRPr="00CA5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57C6" w:rsidRPr="00CA5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roku dezinficēšana </w:t>
      </w:r>
      <w:r w:rsidR="00143B05" w:rsidRPr="00CA57C6">
        <w:rPr>
          <w:rFonts w:ascii="Times New Roman" w:hAnsi="Times New Roman" w:cs="Times New Roman"/>
          <w:color w:val="000000" w:themeColor="text1"/>
          <w:sz w:val="24"/>
          <w:szCs w:val="24"/>
        </w:rPr>
        <w:t>individuālo aizsardzības līdzekļu</w:t>
      </w:r>
      <w:r w:rsidR="00820680" w:rsidRPr="00CA5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r w:rsidR="00143B05" w:rsidRPr="00CA57C6">
        <w:rPr>
          <w:rFonts w:ascii="Times New Roman" w:hAnsi="Times New Roman" w:cs="Times New Roman"/>
          <w:color w:val="000000" w:themeColor="text1"/>
          <w:sz w:val="24"/>
          <w:szCs w:val="24"/>
        </w:rPr>
        <w:t>medicīnisko aizsargmasku</w:t>
      </w:r>
      <w:r w:rsidR="00820680" w:rsidRPr="00CA57C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43B05" w:rsidRPr="00CA5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lietošana</w:t>
      </w:r>
      <w:r w:rsidR="00FB6A33" w:rsidRPr="00CA57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A57C6" w:rsidRPr="00CA5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 šāda prasība SAC ir noteikta</w:t>
      </w:r>
      <w:r w:rsidR="00CA57C6" w:rsidRPr="00CA57C6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, ņemot vērā epidemioloģiskās drošības riskus institūcijā</w:t>
      </w:r>
      <w:bookmarkEnd w:id="0"/>
      <w:r w:rsidR="00C03EDD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.</w:t>
      </w:r>
    </w:p>
    <w:p w:rsidR="00CA57C6" w:rsidRPr="00CA57C6" w:rsidRDefault="00CA57C6" w:rsidP="00CA57C6">
      <w:pPr>
        <w:pStyle w:val="Bezatstarpm"/>
        <w:shd w:val="clear" w:color="auto" w:fill="FFFFFF" w:themeFill="background1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0680" w:rsidRDefault="00D85586" w:rsidP="009B22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</w:pPr>
      <w:r w:rsidRPr="005A3F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  <w:t>L</w:t>
      </w:r>
      <w:r w:rsidR="00EC0C40" w:rsidRPr="005A3F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  <w:t>ūdzam tuviniekus, radiniekus un</w:t>
      </w:r>
      <w:r w:rsidR="00EC0C40" w:rsidRPr="00FE54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  <w:t xml:space="preserve"> draugus b</w:t>
      </w:r>
      <w:r w:rsidR="000D7C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  <w:t>ū</w:t>
      </w:r>
      <w:r w:rsidR="00EC0C40" w:rsidRPr="00FE54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  <w:t xml:space="preserve">t saprotošiem </w:t>
      </w:r>
      <w:r w:rsidR="00C03ED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  <w:t>un</w:t>
      </w:r>
      <w:r w:rsidR="00CB2F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  <w:t xml:space="preserve"> ievērot minētos nosacījumus.</w:t>
      </w:r>
    </w:p>
    <w:p w:rsidR="00820680" w:rsidRDefault="00820680" w:rsidP="009B22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</w:pPr>
    </w:p>
    <w:p w:rsidR="00CB2FBD" w:rsidRDefault="00CB2FBD" w:rsidP="009B22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</w:pPr>
    </w:p>
    <w:p w:rsidR="00C96DFF" w:rsidRPr="00CB2FBD" w:rsidRDefault="00F2513A" w:rsidP="0082068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2FBD">
        <w:rPr>
          <w:rFonts w:ascii="Times New Roman" w:hAnsi="Times New Roman" w:cs="Times New Roman"/>
          <w:color w:val="C00000"/>
          <w:sz w:val="36"/>
          <w:szCs w:val="36"/>
        </w:rPr>
        <w:t>!</w:t>
      </w:r>
      <w:r w:rsidRPr="00CB2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B1771" w:rsidRPr="00CB2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Vēršam uzmanību, ka</w:t>
      </w:r>
      <w:r w:rsidR="009C1092" w:rsidRPr="00CB2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ja SAC</w:t>
      </w:r>
      <w:r w:rsidR="00143B05" w:rsidRPr="00CB2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ir noteikta karantīna, apmeklētāju pieņemšana</w:t>
      </w:r>
      <w:r w:rsidR="009C1092" w:rsidRPr="00CB2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43B05" w:rsidRPr="00CB2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20680" w:rsidRPr="00CB2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tiek </w:t>
      </w:r>
      <w:r w:rsidR="00143B05" w:rsidRPr="00CB2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pārtraukta. </w:t>
      </w:r>
      <w:r w:rsidR="00B956B9" w:rsidRPr="00CB2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43B05" w:rsidRPr="00CB2FBD" w:rsidRDefault="00143B05" w:rsidP="009B22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</w:pPr>
    </w:p>
    <w:p w:rsidR="00FD32D9" w:rsidRPr="00FD32D9" w:rsidRDefault="00FD32D9" w:rsidP="009B22B4">
      <w:pPr>
        <w:pStyle w:val="Bezatstarpm"/>
        <w:shd w:val="clear" w:color="auto" w:fill="FFFFFF" w:themeFill="background1"/>
        <w:rPr>
          <w:rFonts w:ascii="Times New Roman" w:hAnsi="Times New Roman" w:cs="Times New Roman"/>
          <w:b/>
          <w:i/>
          <w:color w:val="000000" w:themeColor="text1"/>
          <w:sz w:val="16"/>
          <w:szCs w:val="16"/>
          <w:lang w:eastAsia="lv-LV"/>
        </w:rPr>
      </w:pPr>
    </w:p>
    <w:p w:rsidR="00C9157E" w:rsidRPr="000D7C67" w:rsidRDefault="00C9157E" w:rsidP="009B22B4">
      <w:pPr>
        <w:pStyle w:val="Bezatstarpm"/>
        <w:shd w:val="clear" w:color="auto" w:fill="FFFFFF" w:themeFill="background1"/>
        <w:rPr>
          <w:rFonts w:ascii="Times New Roman" w:hAnsi="Times New Roman" w:cs="Times New Roman"/>
          <w:b/>
          <w:i/>
          <w:sz w:val="24"/>
          <w:szCs w:val="24"/>
        </w:rPr>
      </w:pPr>
    </w:p>
    <w:sectPr w:rsidR="00C9157E" w:rsidRPr="000D7C67" w:rsidSect="000D7C67">
      <w:pgSz w:w="11906" w:h="16838"/>
      <w:pgMar w:top="851" w:right="1021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01A6" w:rsidRDefault="001901A6" w:rsidP="00DD2324">
      <w:pPr>
        <w:spacing w:after="0" w:line="240" w:lineRule="auto"/>
      </w:pPr>
      <w:r>
        <w:separator/>
      </w:r>
    </w:p>
  </w:endnote>
  <w:endnote w:type="continuationSeparator" w:id="0">
    <w:p w:rsidR="001901A6" w:rsidRDefault="001901A6" w:rsidP="00DD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01A6" w:rsidRDefault="001901A6" w:rsidP="00DD2324">
      <w:pPr>
        <w:spacing w:after="0" w:line="240" w:lineRule="auto"/>
      </w:pPr>
      <w:r>
        <w:separator/>
      </w:r>
    </w:p>
  </w:footnote>
  <w:footnote w:type="continuationSeparator" w:id="0">
    <w:p w:rsidR="001901A6" w:rsidRDefault="001901A6" w:rsidP="00DD2324">
      <w:pPr>
        <w:spacing w:after="0" w:line="240" w:lineRule="auto"/>
      </w:pPr>
      <w:r>
        <w:continuationSeparator/>
      </w:r>
    </w:p>
  </w:footnote>
  <w:footnote w:id="1">
    <w:p w:rsidR="00DD2324" w:rsidRPr="00F2513A" w:rsidRDefault="00DD2324" w:rsidP="00DD2324">
      <w:pPr>
        <w:pStyle w:val="Vresteksts"/>
        <w:jc w:val="both"/>
        <w:rPr>
          <w:rFonts w:ascii="Times New Roman" w:hAnsi="Times New Roman" w:cs="Times New Roman"/>
          <w:color w:val="0000FF"/>
          <w:lang w:val="en-GB"/>
        </w:rPr>
      </w:pPr>
      <w:r w:rsidRPr="00F2513A">
        <w:rPr>
          <w:rStyle w:val="Vresatsauce"/>
          <w:rFonts w:ascii="Times New Roman" w:eastAsia="Calibri" w:hAnsi="Times New Roman" w:cs="Times New Roman"/>
          <w:lang w:val="en-GB"/>
        </w:rPr>
        <w:footnoteRef/>
      </w:r>
      <w:r w:rsidRPr="00F2513A">
        <w:rPr>
          <w:rFonts w:ascii="Times New Roman" w:hAnsi="Times New Roman" w:cs="Times New Roman"/>
          <w:lang w:val="en-GB"/>
        </w:rPr>
        <w:t xml:space="preserve"> ECDC. Surveillance of COVID-19 at long-term care facilities in the EU/EEA. Technical Report. – 19 May 2020: </w:t>
      </w:r>
      <w:hyperlink r:id="rId1" w:history="1">
        <w:r w:rsidRPr="00F2513A">
          <w:rPr>
            <w:rStyle w:val="Hyperlink1"/>
            <w:rFonts w:ascii="Times New Roman" w:hAnsi="Times New Roman" w:cs="Times New Roman"/>
            <w:color w:val="0000FF"/>
            <w:lang w:val="en-GB"/>
          </w:rPr>
          <w:t>https://www.ecdc.europa.eu/sites/default/files/documents/covid-19-long-term-care-facilities-surveillance-guidance.pdf</w:t>
        </w:r>
      </w:hyperlink>
      <w:r w:rsidRPr="00F2513A">
        <w:rPr>
          <w:rFonts w:ascii="Times New Roman" w:hAnsi="Times New Roman" w:cs="Times New Roman"/>
          <w:color w:val="0000FF"/>
          <w:lang w:val="en-GB"/>
        </w:rPr>
        <w:t>.</w:t>
      </w:r>
    </w:p>
  </w:footnote>
  <w:footnote w:id="2">
    <w:p w:rsidR="00C03EDD" w:rsidRDefault="00C03EDD" w:rsidP="00C03EDD">
      <w:pPr>
        <w:pStyle w:val="Vresteksts"/>
      </w:pPr>
      <w:r>
        <w:rPr>
          <w:rStyle w:val="Vresatsauce"/>
        </w:rPr>
        <w:footnoteRef/>
      </w:r>
      <w:r>
        <w:t xml:space="preserve"> </w:t>
      </w:r>
      <w:hyperlink r:id="rId2" w:history="1">
        <w:r w:rsidRPr="00056F8B">
          <w:rPr>
            <w:rStyle w:val="Hipersaite"/>
          </w:rPr>
          <w:t>https://covid19.gov.lv/covid-19/drosibas-pasakumi/izolacija</w:t>
        </w:r>
      </w:hyperlink>
      <w:r>
        <w:t xml:space="preserve"> </w:t>
      </w:r>
    </w:p>
    <w:p w:rsidR="00C03EDD" w:rsidRDefault="00C03EDD">
      <w:pPr>
        <w:pStyle w:val="Vresteksts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049"/>
    <w:multiLevelType w:val="multilevel"/>
    <w:tmpl w:val="D1320B0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750" w:hanging="390"/>
      </w:pPr>
      <w:rPr>
        <w:rFonts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1110" w:hanging="39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  <w:sz w:val="26"/>
      </w:rPr>
    </w:lvl>
  </w:abstractNum>
  <w:abstractNum w:abstractNumId="1" w15:restartNumberingAfterBreak="0">
    <w:nsid w:val="22780F3B"/>
    <w:multiLevelType w:val="hybridMultilevel"/>
    <w:tmpl w:val="ECCAB608"/>
    <w:lvl w:ilvl="0" w:tplc="848EBFC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E4395"/>
    <w:multiLevelType w:val="hybridMultilevel"/>
    <w:tmpl w:val="F24CD512"/>
    <w:lvl w:ilvl="0" w:tplc="7C320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01ECC"/>
    <w:multiLevelType w:val="hybridMultilevel"/>
    <w:tmpl w:val="54AA4FD8"/>
    <w:lvl w:ilvl="0" w:tplc="70B8A23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5575B"/>
    <w:multiLevelType w:val="multilevel"/>
    <w:tmpl w:val="317246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A693024"/>
    <w:multiLevelType w:val="hybridMultilevel"/>
    <w:tmpl w:val="00C04564"/>
    <w:lvl w:ilvl="0" w:tplc="70B8A232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4754207">
    <w:abstractNumId w:val="0"/>
  </w:num>
  <w:num w:numId="2" w16cid:durableId="1514614596">
    <w:abstractNumId w:val="4"/>
  </w:num>
  <w:num w:numId="3" w16cid:durableId="181089765">
    <w:abstractNumId w:val="2"/>
  </w:num>
  <w:num w:numId="4" w16cid:durableId="1222785084">
    <w:abstractNumId w:val="5"/>
  </w:num>
  <w:num w:numId="5" w16cid:durableId="623774238">
    <w:abstractNumId w:val="3"/>
  </w:num>
  <w:num w:numId="6" w16cid:durableId="505485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40"/>
    <w:rsid w:val="000010BA"/>
    <w:rsid w:val="00027C4C"/>
    <w:rsid w:val="00046AC0"/>
    <w:rsid w:val="000528DA"/>
    <w:rsid w:val="000A0794"/>
    <w:rsid w:val="000C5BE9"/>
    <w:rsid w:val="000D2E63"/>
    <w:rsid w:val="000D7C67"/>
    <w:rsid w:val="0011165E"/>
    <w:rsid w:val="00143B05"/>
    <w:rsid w:val="001901A6"/>
    <w:rsid w:val="001B3DDE"/>
    <w:rsid w:val="002220FB"/>
    <w:rsid w:val="002274BC"/>
    <w:rsid w:val="0025166A"/>
    <w:rsid w:val="00274420"/>
    <w:rsid w:val="002A6186"/>
    <w:rsid w:val="0030200D"/>
    <w:rsid w:val="00332B46"/>
    <w:rsid w:val="00357BDC"/>
    <w:rsid w:val="003D5DD1"/>
    <w:rsid w:val="003E50B3"/>
    <w:rsid w:val="004F3AE6"/>
    <w:rsid w:val="00562113"/>
    <w:rsid w:val="00586763"/>
    <w:rsid w:val="005A3F98"/>
    <w:rsid w:val="005F1B9A"/>
    <w:rsid w:val="00662A90"/>
    <w:rsid w:val="006D2FC8"/>
    <w:rsid w:val="0073716F"/>
    <w:rsid w:val="007B1B8A"/>
    <w:rsid w:val="007C4FF0"/>
    <w:rsid w:val="007C5BC3"/>
    <w:rsid w:val="007C6E55"/>
    <w:rsid w:val="00820680"/>
    <w:rsid w:val="00835409"/>
    <w:rsid w:val="00851365"/>
    <w:rsid w:val="008B1771"/>
    <w:rsid w:val="00984668"/>
    <w:rsid w:val="00987EDE"/>
    <w:rsid w:val="009A5902"/>
    <w:rsid w:val="009B22B4"/>
    <w:rsid w:val="009C1092"/>
    <w:rsid w:val="009D4AC9"/>
    <w:rsid w:val="009D4C91"/>
    <w:rsid w:val="00A068ED"/>
    <w:rsid w:val="00A8439A"/>
    <w:rsid w:val="00AA029A"/>
    <w:rsid w:val="00AE0593"/>
    <w:rsid w:val="00B2403B"/>
    <w:rsid w:val="00B328D4"/>
    <w:rsid w:val="00B46820"/>
    <w:rsid w:val="00B90FD4"/>
    <w:rsid w:val="00B956B9"/>
    <w:rsid w:val="00C03EDD"/>
    <w:rsid w:val="00C13E94"/>
    <w:rsid w:val="00C52952"/>
    <w:rsid w:val="00C61426"/>
    <w:rsid w:val="00C9157E"/>
    <w:rsid w:val="00C96DFF"/>
    <w:rsid w:val="00CA57C6"/>
    <w:rsid w:val="00CB2FBD"/>
    <w:rsid w:val="00CD2AAD"/>
    <w:rsid w:val="00D005D0"/>
    <w:rsid w:val="00D11224"/>
    <w:rsid w:val="00D7041D"/>
    <w:rsid w:val="00D7228B"/>
    <w:rsid w:val="00D85586"/>
    <w:rsid w:val="00D9783C"/>
    <w:rsid w:val="00DD2324"/>
    <w:rsid w:val="00DD6564"/>
    <w:rsid w:val="00EC0C40"/>
    <w:rsid w:val="00EF6FF1"/>
    <w:rsid w:val="00F01486"/>
    <w:rsid w:val="00F10799"/>
    <w:rsid w:val="00F129C3"/>
    <w:rsid w:val="00F237FB"/>
    <w:rsid w:val="00F2513A"/>
    <w:rsid w:val="00F540BA"/>
    <w:rsid w:val="00F63A55"/>
    <w:rsid w:val="00F77E91"/>
    <w:rsid w:val="00FA248C"/>
    <w:rsid w:val="00FB6A33"/>
    <w:rsid w:val="00FD32D9"/>
    <w:rsid w:val="00FE3E57"/>
    <w:rsid w:val="00FE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95F376-A325-4B07-BF45-5460FF86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link w:val="Virsraksts2Rakstz"/>
    <w:uiPriority w:val="9"/>
    <w:qFormat/>
    <w:rsid w:val="00EC0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EC0C40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EC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ezatstarpm">
    <w:name w:val="No Spacing"/>
    <w:uiPriority w:val="1"/>
    <w:qFormat/>
    <w:rsid w:val="00C61426"/>
    <w:pPr>
      <w:spacing w:after="0" w:line="240" w:lineRule="auto"/>
      <w:jc w:val="both"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DD2324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DD2324"/>
    <w:rPr>
      <w:sz w:val="20"/>
      <w:szCs w:val="20"/>
    </w:rPr>
  </w:style>
  <w:style w:type="character" w:styleId="Vresatsauce">
    <w:name w:val="footnote reference"/>
    <w:aliases w:val="Footnote Refernece,Footnote Reference Number,Footnote symbol,SUPERS,ftref,stylish,BVI fnr,Fußnotenzeichen_Raxen,callout,Footnote Reference Superscript"/>
    <w:uiPriority w:val="99"/>
    <w:rsid w:val="00DD2324"/>
    <w:rPr>
      <w:vertAlign w:val="superscript"/>
    </w:rPr>
  </w:style>
  <w:style w:type="character" w:customStyle="1" w:styleId="Hyperlink1">
    <w:name w:val="Hyperlink1"/>
    <w:uiPriority w:val="99"/>
    <w:unhideWhenUsed/>
    <w:rsid w:val="00DD2324"/>
    <w:rPr>
      <w:color w:val="0563C1"/>
      <w:u w:val="single"/>
    </w:rPr>
  </w:style>
  <w:style w:type="character" w:styleId="Izclums">
    <w:name w:val="Emphasis"/>
    <w:basedOn w:val="Noklusjumarindkopasfonts"/>
    <w:uiPriority w:val="20"/>
    <w:qFormat/>
    <w:rsid w:val="00357BDC"/>
    <w:rPr>
      <w:i/>
      <w:iCs/>
    </w:rPr>
  </w:style>
  <w:style w:type="character" w:styleId="Hipersaite">
    <w:name w:val="Hyperlink"/>
    <w:basedOn w:val="Noklusjumarindkopasfonts"/>
    <w:uiPriority w:val="99"/>
    <w:unhideWhenUsed/>
    <w:rsid w:val="00357BDC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E540E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B95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8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558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04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19.gov.lv/covid-19/par-covid-19/simpto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ovid19.gov.lv/covid-19/drosibas-pasakumi/izolacija" TargetMode="External"/><Relationship Id="rId1" Type="http://schemas.openxmlformats.org/officeDocument/2006/relationships/hyperlink" Target="https://www.ecdc.europa.eu/sites/default/files/documents/covid-19-long-term-care-facilities-surveillance-guidan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A8219-4482-4EBF-AC5E-36B254DB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1221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Egita Dorozkina</dc:creator>
  <cp:keywords/>
  <dc:description/>
  <cp:lastModifiedBy>Nataļja Tropkina</cp:lastModifiedBy>
  <cp:revision>2</cp:revision>
  <dcterms:created xsi:type="dcterms:W3CDTF">2023-05-18T14:10:00Z</dcterms:created>
  <dcterms:modified xsi:type="dcterms:W3CDTF">2023-05-18T14:10:00Z</dcterms:modified>
</cp:coreProperties>
</file>